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AB020" w14:textId="77777777" w:rsidR="004229D5" w:rsidRPr="004D14E7" w:rsidRDefault="004229D5" w:rsidP="008851F0">
      <w:pPr>
        <w:pStyle w:val="Heading1"/>
        <w:jc w:val="center"/>
        <w:rPr>
          <w:lang w:val="en-NZ"/>
        </w:rPr>
      </w:pPr>
    </w:p>
    <w:p w14:paraId="0523BE9B" w14:textId="77777777" w:rsidR="004229D5" w:rsidRDefault="004229D5" w:rsidP="008851F0">
      <w:pPr>
        <w:pStyle w:val="Heading1"/>
        <w:jc w:val="center"/>
      </w:pPr>
    </w:p>
    <w:p w14:paraId="0D5DE5ED" w14:textId="7B872758" w:rsidR="00A964E2" w:rsidRDefault="004229D5" w:rsidP="008851F0">
      <w:pPr>
        <w:pStyle w:val="Heading1"/>
        <w:jc w:val="center"/>
      </w:pPr>
      <w:r>
        <w:t>Guidelines for Continuing Competency</w:t>
      </w:r>
      <w:r w:rsidR="0036166C">
        <w:t xml:space="preserve"> of</w:t>
      </w:r>
      <w:r w:rsidR="00332203">
        <w:t xml:space="preserve"> </w:t>
      </w:r>
    </w:p>
    <w:p w14:paraId="2F695E03" w14:textId="1CD609A7" w:rsidR="004229D5" w:rsidRDefault="004229D5" w:rsidP="008851F0">
      <w:pPr>
        <w:pStyle w:val="Heading1"/>
        <w:jc w:val="center"/>
      </w:pPr>
      <w:r>
        <w:t>Registered Nutritionist</w:t>
      </w:r>
      <w:r w:rsidR="00332203">
        <w:t>s</w:t>
      </w:r>
    </w:p>
    <w:p w14:paraId="50E76673" w14:textId="77777777" w:rsidR="00332203" w:rsidRDefault="00332203" w:rsidP="004D14E7"/>
    <w:p w14:paraId="6D18C188" w14:textId="0AFD49CB" w:rsidR="00332203" w:rsidRPr="00332203" w:rsidRDefault="00332203" w:rsidP="004D14E7">
      <w:pPr>
        <w:pStyle w:val="Heading1"/>
      </w:pPr>
    </w:p>
    <w:p w14:paraId="06A5AC77" w14:textId="77777777" w:rsidR="00332203" w:rsidRPr="00332203" w:rsidRDefault="00332203" w:rsidP="004D14E7"/>
    <w:p w14:paraId="4753E0E7" w14:textId="77777777" w:rsidR="004229D5" w:rsidRDefault="004229D5" w:rsidP="004D14E7"/>
    <w:p w14:paraId="7256CF8D" w14:textId="1DBDF2FD" w:rsidR="004229D5" w:rsidRDefault="004229D5" w:rsidP="004229D5">
      <w:pPr>
        <w:pStyle w:val="Heading1"/>
        <w:jc w:val="center"/>
      </w:pPr>
      <w:r>
        <w:t>The Nutrition Society of New Zealand</w:t>
      </w:r>
    </w:p>
    <w:p w14:paraId="07655028" w14:textId="77777777" w:rsidR="004229D5" w:rsidRDefault="004229D5" w:rsidP="004D14E7"/>
    <w:p w14:paraId="370B7741" w14:textId="77777777" w:rsidR="00DF7F30" w:rsidRDefault="00DF7F30" w:rsidP="004D14E7"/>
    <w:p w14:paraId="4DEAC6EA" w14:textId="77777777" w:rsidR="00DF7F30" w:rsidRDefault="00DF7F30" w:rsidP="004D14E7"/>
    <w:p w14:paraId="42DDD1BB" w14:textId="77777777" w:rsidR="00DF7F30" w:rsidRDefault="00DF7F30" w:rsidP="004D14E7"/>
    <w:p w14:paraId="52C3BACA" w14:textId="77777777" w:rsidR="00DF7F30" w:rsidRDefault="00DF7F30" w:rsidP="004D14E7"/>
    <w:p w14:paraId="39E1B8A4" w14:textId="77777777" w:rsidR="00DF7F30" w:rsidRDefault="00DF7F30" w:rsidP="004D14E7"/>
    <w:p w14:paraId="23753C94" w14:textId="77777777" w:rsidR="00DF7F30" w:rsidRDefault="00DF7F30" w:rsidP="004D14E7"/>
    <w:p w14:paraId="63A1BACD" w14:textId="77777777" w:rsidR="00DF7F30" w:rsidRDefault="00DF7F30" w:rsidP="004D14E7"/>
    <w:p w14:paraId="4E883DC9" w14:textId="77777777" w:rsidR="00DF7F30" w:rsidRDefault="00DF7F30" w:rsidP="004D14E7"/>
    <w:p w14:paraId="5BB736C3" w14:textId="77777777" w:rsidR="00DF7F30" w:rsidRDefault="00DF7F30" w:rsidP="004D14E7"/>
    <w:p w14:paraId="1EBCC284" w14:textId="77777777" w:rsidR="00DF7F30" w:rsidRDefault="00DF7F30" w:rsidP="004D14E7"/>
    <w:p w14:paraId="4A7EF61A" w14:textId="77777777" w:rsidR="00DF7F30" w:rsidRDefault="00DF7F30" w:rsidP="004D14E7"/>
    <w:p w14:paraId="03B42D79" w14:textId="77777777" w:rsidR="00DF7F30" w:rsidRDefault="00DF7F30" w:rsidP="004D14E7"/>
    <w:p w14:paraId="32412F42" w14:textId="337D18D7" w:rsidR="00DF7F30" w:rsidRDefault="00DF7F30" w:rsidP="004D14E7">
      <w:pPr>
        <w:jc w:val="center"/>
      </w:pPr>
      <w:r>
        <w:t>Date first publication</w:t>
      </w:r>
      <w:r w:rsidR="00AB095E">
        <w:t>: 13 November 2020</w:t>
      </w:r>
    </w:p>
    <w:p w14:paraId="17832175" w14:textId="750F8019" w:rsidR="00DF7F30" w:rsidRPr="004229D5" w:rsidRDefault="00DF7F30" w:rsidP="004D14E7">
      <w:pPr>
        <w:jc w:val="center"/>
      </w:pPr>
      <w:r>
        <w:t>Last amendment date</w:t>
      </w:r>
      <w:r w:rsidR="00AB095E">
        <w:t>: 13 November 2020</w:t>
      </w:r>
    </w:p>
    <w:p w14:paraId="5E5A5D76" w14:textId="77777777" w:rsidR="004229D5" w:rsidRDefault="004229D5" w:rsidP="004D14E7"/>
    <w:p w14:paraId="2DF12892" w14:textId="77777777" w:rsidR="004229D5" w:rsidRDefault="004229D5" w:rsidP="004D14E7"/>
    <w:p w14:paraId="17AE3C83" w14:textId="77777777" w:rsidR="004229D5" w:rsidRDefault="004229D5" w:rsidP="004D14E7"/>
    <w:p w14:paraId="60DFA23D" w14:textId="77777777" w:rsidR="007C7088" w:rsidRDefault="007C7088" w:rsidP="004D14E7"/>
    <w:p w14:paraId="7E5FDD3E" w14:textId="77777777" w:rsidR="007C7088" w:rsidRDefault="007C7088" w:rsidP="004D14E7"/>
    <w:p w14:paraId="3EB7809F" w14:textId="77777777" w:rsidR="007C7088" w:rsidRDefault="007C7088" w:rsidP="004D14E7"/>
    <w:p w14:paraId="20CE1939" w14:textId="77777777" w:rsidR="007C7088" w:rsidRDefault="007C7088" w:rsidP="004D14E7"/>
    <w:p w14:paraId="1DAA61CC" w14:textId="77777777" w:rsidR="007C7088" w:rsidRDefault="007C7088" w:rsidP="004D14E7"/>
    <w:p w14:paraId="2C768A87" w14:textId="77777777" w:rsidR="007C7088" w:rsidRDefault="007C7088" w:rsidP="004D14E7"/>
    <w:p w14:paraId="5AAD3874" w14:textId="77777777" w:rsidR="007C7088" w:rsidRDefault="007C7088" w:rsidP="004D14E7"/>
    <w:p w14:paraId="425BAB0F" w14:textId="43CE8C53" w:rsidR="007C7088" w:rsidRDefault="007C7088" w:rsidP="004D14E7">
      <w:r>
        <w:t>The Nutrition Society New Zealand</w:t>
      </w:r>
    </w:p>
    <w:p w14:paraId="65EA1727" w14:textId="5A27B8AC" w:rsidR="00AB095E" w:rsidRPr="004229D5" w:rsidRDefault="00CC6481" w:rsidP="004D14E7">
      <w:hyperlink r:id="rId10" w:history="1">
        <w:r w:rsidR="00AB095E" w:rsidRPr="0092517A">
          <w:rPr>
            <w:rStyle w:val="Hyperlink"/>
          </w:rPr>
          <w:t>http://www.nutritionsociety.ac.nz</w:t>
        </w:r>
      </w:hyperlink>
      <w:r w:rsidR="00AB095E">
        <w:t xml:space="preserve"> </w:t>
      </w:r>
    </w:p>
    <w:p w14:paraId="0C0C818E" w14:textId="77777777" w:rsidR="004229D5" w:rsidRDefault="004229D5">
      <w:pPr>
        <w:rPr>
          <w:color w:val="2F5496"/>
          <w:sz w:val="32"/>
          <w:szCs w:val="32"/>
        </w:rPr>
      </w:pPr>
      <w:r>
        <w:br w:type="page"/>
      </w:r>
    </w:p>
    <w:p w14:paraId="45916325" w14:textId="4FAFC312" w:rsidR="00CC0B2B" w:rsidRPr="00401A72" w:rsidRDefault="0080225A" w:rsidP="004D14E7">
      <w:pPr>
        <w:pStyle w:val="Heading2"/>
        <w:rPr>
          <w:rFonts w:ascii="Calibri" w:hAnsi="Calibri" w:cs="Calibri"/>
        </w:rPr>
      </w:pPr>
      <w:r w:rsidRPr="00401A72">
        <w:rPr>
          <w:rFonts w:ascii="Calibri" w:hAnsi="Calibri" w:cs="Calibri"/>
        </w:rPr>
        <w:lastRenderedPageBreak/>
        <w:t xml:space="preserve">Introduction: </w:t>
      </w:r>
      <w:r w:rsidR="00F438C4" w:rsidRPr="00401A72">
        <w:rPr>
          <w:rFonts w:ascii="Calibri" w:hAnsi="Calibri" w:cs="Calibri"/>
        </w:rPr>
        <w:t>Guidelines for Continuing Competency</w:t>
      </w:r>
    </w:p>
    <w:p w14:paraId="759565DE" w14:textId="77777777" w:rsidR="00CC0B2B" w:rsidRDefault="00CC0B2B">
      <w:pPr>
        <w:rPr>
          <w:rFonts w:ascii="Arial" w:eastAsia="Arial" w:hAnsi="Arial" w:cs="Arial"/>
        </w:rPr>
      </w:pPr>
    </w:p>
    <w:p w14:paraId="7EEAD453" w14:textId="692E3B4C" w:rsidR="00103ADC" w:rsidRDefault="00103ADC" w:rsidP="00103ADC">
      <w:r w:rsidRPr="004D14E7">
        <w:t>The Nutrition Society of New Zealand</w:t>
      </w:r>
      <w:r>
        <w:t xml:space="preserve"> (NSNZ)</w:t>
      </w:r>
      <w:r w:rsidRPr="004D14E7">
        <w:t xml:space="preserve"> is a</w:t>
      </w:r>
      <w:r>
        <w:t xml:space="preserve"> non-profit</w:t>
      </w:r>
      <w:r w:rsidRPr="004D14E7">
        <w:t xml:space="preserve"> </w:t>
      </w:r>
      <w:proofErr w:type="spellStart"/>
      <w:r w:rsidRPr="004D14E7">
        <w:t>organisation</w:t>
      </w:r>
      <w:proofErr w:type="spellEnd"/>
      <w:r w:rsidRPr="004D14E7">
        <w:t xml:space="preserve"> of qualified, </w:t>
      </w:r>
      <w:r w:rsidR="00920DC1" w:rsidRPr="00B723F4">
        <w:t>practicing</w:t>
      </w:r>
      <w:r w:rsidRPr="004D14E7">
        <w:t xml:space="preserve"> health professionals, scientists and educators with a range of backgrounds </w:t>
      </w:r>
      <w:r w:rsidRPr="00CE2868">
        <w:t>dedicated to the support and advancement of nutrition as a scientific field.</w:t>
      </w:r>
    </w:p>
    <w:p w14:paraId="6C9D04A1" w14:textId="56D42882" w:rsidR="00103ADC" w:rsidRDefault="00103ADC" w:rsidP="00103ADC">
      <w:r w:rsidRPr="00CE2868">
        <w:t>NSNZ has established a trusted structure for the registration of Nutritionists to ensure credibility of th</w:t>
      </w:r>
      <w:r w:rsidR="00BD0C90">
        <w:t>e profession within New Zealand, part of which Registered Nutritionist</w:t>
      </w:r>
      <w:r w:rsidR="004D3294">
        <w:t>s</w:t>
      </w:r>
      <w:r w:rsidR="00BD0C90">
        <w:t xml:space="preserve"> must provide ev</w:t>
      </w:r>
      <w:r w:rsidR="00DC7A70">
        <w:t>idence of continuing competency on re-regi</w:t>
      </w:r>
      <w:r w:rsidR="0080195F">
        <w:t>stration</w:t>
      </w:r>
      <w:r w:rsidR="00DC7A70">
        <w:t xml:space="preserve"> </w:t>
      </w:r>
      <w:r w:rsidR="0029349C">
        <w:t>every 3 year</w:t>
      </w:r>
      <w:r w:rsidR="003629C0">
        <w:t>s</w:t>
      </w:r>
      <w:r w:rsidR="00DC7A70">
        <w:t>.</w:t>
      </w:r>
    </w:p>
    <w:p w14:paraId="370F8F6A" w14:textId="77777777" w:rsidR="005C7F4B" w:rsidRDefault="005C7F4B" w:rsidP="00103ADC"/>
    <w:p w14:paraId="055329AD" w14:textId="244108C7" w:rsidR="00D41668" w:rsidRDefault="005C7F4B" w:rsidP="00103ADC">
      <w:r>
        <w:t xml:space="preserve">The </w:t>
      </w:r>
      <w:r w:rsidR="00825DEE">
        <w:t xml:space="preserve">aim of </w:t>
      </w:r>
      <w:r w:rsidR="00F02130">
        <w:t>continuing c</w:t>
      </w:r>
      <w:r w:rsidR="00825DEE">
        <w:t>ompetency is</w:t>
      </w:r>
      <w:r>
        <w:t xml:space="preserve"> to ensure Registered Nutritionists maintain their professional competency.</w:t>
      </w:r>
      <w:r w:rsidR="00D41668">
        <w:t xml:space="preserve"> The following Nutrition Society rule pertains to continuing competency:</w:t>
      </w:r>
    </w:p>
    <w:p w14:paraId="1A8F5125" w14:textId="64F9FE0D" w:rsidR="00D41668" w:rsidRDefault="00D41668" w:rsidP="00103ADC">
      <w:r>
        <w:t>(g) Continuing Competency</w:t>
      </w:r>
      <w:r w:rsidR="00AB095E">
        <w:t>:</w:t>
      </w:r>
      <w:r>
        <w:t xml:space="preserve"> All members of the Society who obtain admission as Registered Nutritionists shall on each 3rd anniversary of their admission, submit their completed application form before the Nutrition Registration Panel to remain as Registered Nutritionists. The application form will include the following information:</w:t>
      </w:r>
    </w:p>
    <w:p w14:paraId="2BD72DCE" w14:textId="77777777" w:rsidR="00D41668" w:rsidRDefault="00D41668" w:rsidP="00103ADC">
      <w:r>
        <w:t>- qualifications and employment during the previous three years</w:t>
      </w:r>
    </w:p>
    <w:p w14:paraId="1A3B91EB" w14:textId="77777777" w:rsidR="00D41668" w:rsidRDefault="00D41668" w:rsidP="00103ADC">
      <w:r>
        <w:t>- details of continuing competency</w:t>
      </w:r>
    </w:p>
    <w:p w14:paraId="6AFDA4DB" w14:textId="2494DC30" w:rsidR="005C7F4B" w:rsidRDefault="00D41668" w:rsidP="00103ADC">
      <w:r>
        <w:t xml:space="preserve">- the names of </w:t>
      </w:r>
      <w:r w:rsidR="00AB095E">
        <w:t xml:space="preserve">two </w:t>
      </w:r>
      <w:r>
        <w:t>referees</w:t>
      </w:r>
    </w:p>
    <w:p w14:paraId="5599377F" w14:textId="77777777" w:rsidR="00103ADC" w:rsidRDefault="00103ADC" w:rsidP="00103ADC"/>
    <w:p w14:paraId="7E19774B" w14:textId="414BFBA5" w:rsidR="00CC0B2B" w:rsidRDefault="00E964E0">
      <w:r w:rsidRPr="00E10E02">
        <w:t xml:space="preserve">Registered Nutritionists are registered in a field of expertise: </w:t>
      </w:r>
      <w:r w:rsidR="00EA468E" w:rsidRPr="00E10E02">
        <w:t>Scientific Research</w:t>
      </w:r>
      <w:r w:rsidR="003629C0">
        <w:t xml:space="preserve"> (Academic or Industry)</w:t>
      </w:r>
      <w:r w:rsidR="00EA468E" w:rsidRPr="00E10E02">
        <w:t xml:space="preserve">, Practice, </w:t>
      </w:r>
      <w:r w:rsidRPr="00E10E02">
        <w:t xml:space="preserve">Public Health, </w:t>
      </w:r>
      <w:r w:rsidR="003629C0">
        <w:t xml:space="preserve">Nutrition Communication, </w:t>
      </w:r>
      <w:r w:rsidRPr="00E10E02">
        <w:t xml:space="preserve">Education, or </w:t>
      </w:r>
      <w:r w:rsidR="003629C0">
        <w:t>Food Industry, Food-service</w:t>
      </w:r>
      <w:r w:rsidRPr="00E10E02">
        <w:t>.</w:t>
      </w:r>
      <w:r w:rsidR="0064181A">
        <w:t xml:space="preserve"> </w:t>
      </w:r>
      <w:r w:rsidR="00492F5A" w:rsidRPr="0049089D">
        <w:t xml:space="preserve">For each field of expertise, there are </w:t>
      </w:r>
      <w:r w:rsidR="007745C5">
        <w:t>four</w:t>
      </w:r>
      <w:r w:rsidR="0064181A" w:rsidRPr="0049089D">
        <w:t xml:space="preserve"> areas of core competencies</w:t>
      </w:r>
      <w:r w:rsidR="007745C5">
        <w:t>, along with Professional Conduct</w:t>
      </w:r>
      <w:r w:rsidR="0064181A" w:rsidRPr="0049089D">
        <w:t>.</w:t>
      </w:r>
      <w:r w:rsidR="00445106">
        <w:t xml:space="preserve"> </w:t>
      </w:r>
      <w:r w:rsidR="00F438C4">
        <w:t>The</w:t>
      </w:r>
      <w:r w:rsidR="005A62FF">
        <w:t>se</w:t>
      </w:r>
      <w:r w:rsidR="00F438C4">
        <w:t xml:space="preserve"> core competencies reflect the expectations of the </w:t>
      </w:r>
      <w:r w:rsidR="005D7043">
        <w:t>NSNZ</w:t>
      </w:r>
      <w:r w:rsidR="00F438C4">
        <w:t xml:space="preserve"> for a Registered Nutritionist to be able to fulfil their role. </w:t>
      </w:r>
      <w:r w:rsidR="001C633E">
        <w:t>As evidence of continuing competency, a</w:t>
      </w:r>
      <w:r w:rsidR="00F438C4">
        <w:t xml:space="preserve"> Registered Nutritionist demonstrates that</w:t>
      </w:r>
      <w:r w:rsidR="003A02D8">
        <w:t xml:space="preserve"> knowledge</w:t>
      </w:r>
      <w:r w:rsidR="007C334A">
        <w:t>, understanding</w:t>
      </w:r>
      <w:r w:rsidR="003A02D8">
        <w:t xml:space="preserve"> and application of</w:t>
      </w:r>
      <w:r w:rsidR="00F438C4">
        <w:t xml:space="preserve"> </w:t>
      </w:r>
      <w:r w:rsidR="00253E2B">
        <w:t xml:space="preserve">each of the </w:t>
      </w:r>
      <w:r w:rsidR="007745C5">
        <w:t>four</w:t>
      </w:r>
      <w:r w:rsidR="00253E2B">
        <w:t xml:space="preserve"> core </w:t>
      </w:r>
      <w:r w:rsidR="00F438C4">
        <w:t>competencies</w:t>
      </w:r>
      <w:r w:rsidR="007745C5">
        <w:t>, along with Professional Conduct,</w:t>
      </w:r>
      <w:r w:rsidR="00F438C4">
        <w:t xml:space="preserve"> are maintained and integrated into day-to-day work by linking each competency to</w:t>
      </w:r>
      <w:r w:rsidR="003A02D8">
        <w:t xml:space="preserve"> </w:t>
      </w:r>
      <w:r w:rsidR="002F50FB">
        <w:t>activities, or</w:t>
      </w:r>
      <w:r w:rsidR="00700903">
        <w:t xml:space="preserve"> </w:t>
      </w:r>
      <w:r w:rsidR="00445106">
        <w:t>evidence</w:t>
      </w:r>
      <w:r w:rsidR="00F438C4">
        <w:t xml:space="preserve"> examples</w:t>
      </w:r>
      <w:r w:rsidR="003A02D8">
        <w:t>.</w:t>
      </w:r>
      <w:r w:rsidR="008D7832">
        <w:t xml:space="preserve"> </w:t>
      </w:r>
      <w:r w:rsidR="00F438C4">
        <w:t>Continuing competency is not measured by points or hours</w:t>
      </w:r>
      <w:r w:rsidR="00AB095E">
        <w:t>, as each individual has unique competency requirements</w:t>
      </w:r>
      <w:r w:rsidR="00F438C4">
        <w:t xml:space="preserve">. </w:t>
      </w:r>
      <w:r w:rsidR="00AB095E">
        <w:t>The Registration Panel will assess that each applicant has undertaken sufficient activities to</w:t>
      </w:r>
      <w:r w:rsidR="00F438C4">
        <w:t xml:space="preserve"> remain competent.</w:t>
      </w:r>
      <w:r w:rsidR="00445106">
        <w:t xml:space="preserve"> The</w:t>
      </w:r>
      <w:r w:rsidR="00700903">
        <w:t xml:space="preserve"> </w:t>
      </w:r>
      <w:r w:rsidR="007745C5">
        <w:t>four</w:t>
      </w:r>
      <w:r w:rsidR="00F438C4">
        <w:t xml:space="preserve"> core competencies</w:t>
      </w:r>
      <w:r w:rsidR="00445106">
        <w:t xml:space="preserve"> are</w:t>
      </w:r>
      <w:r w:rsidR="00F438C4">
        <w:t>:</w:t>
      </w:r>
      <w:r w:rsidR="0059604F">
        <w:t xml:space="preserve"> </w:t>
      </w:r>
      <w:r w:rsidR="00F438C4">
        <w:t>Science</w:t>
      </w:r>
      <w:r w:rsidR="0059604F">
        <w:t xml:space="preserve">, </w:t>
      </w:r>
      <w:r w:rsidR="00F438C4">
        <w:t xml:space="preserve">Food </w:t>
      </w:r>
      <w:r w:rsidR="00182D1C">
        <w:t>Systems</w:t>
      </w:r>
      <w:r w:rsidR="0059604F">
        <w:t xml:space="preserve">, </w:t>
      </w:r>
      <w:r w:rsidR="00F438C4">
        <w:t>Social/</w:t>
      </w:r>
      <w:proofErr w:type="spellStart"/>
      <w:r w:rsidR="00F438C4">
        <w:t>Behaviour</w:t>
      </w:r>
      <w:proofErr w:type="spellEnd"/>
      <w:r w:rsidR="0059604F">
        <w:t xml:space="preserve">, </w:t>
      </w:r>
      <w:r w:rsidR="00F438C4">
        <w:t>Health/Wellbeing</w:t>
      </w:r>
      <w:r w:rsidR="0059604F">
        <w:t xml:space="preserve"> </w:t>
      </w:r>
      <w:r w:rsidR="007745C5">
        <w:t>along with</w:t>
      </w:r>
      <w:r w:rsidR="0059604F">
        <w:t xml:space="preserve"> </w:t>
      </w:r>
      <w:r w:rsidR="00F438C4">
        <w:t>Professional Conduct</w:t>
      </w:r>
      <w:r w:rsidR="0059604F">
        <w:t>.</w:t>
      </w:r>
    </w:p>
    <w:p w14:paraId="345E9E0C" w14:textId="77777777" w:rsidR="00AD2657" w:rsidRDefault="00AD2657">
      <w:pPr>
        <w:rPr>
          <w:rFonts w:ascii="Arial" w:eastAsia="Arial" w:hAnsi="Arial" w:cs="Arial"/>
          <w:color w:val="2F5496"/>
          <w:sz w:val="26"/>
          <w:szCs w:val="26"/>
        </w:rPr>
      </w:pPr>
      <w:r>
        <w:br w:type="page"/>
      </w:r>
    </w:p>
    <w:p w14:paraId="33A3FDDA" w14:textId="547C01D1" w:rsidR="00772CDA" w:rsidRPr="00401A72" w:rsidRDefault="00772CDA" w:rsidP="004D14E7">
      <w:pPr>
        <w:pStyle w:val="Heading2"/>
        <w:rPr>
          <w:rFonts w:ascii="Calibri" w:hAnsi="Calibri" w:cs="Calibri"/>
        </w:rPr>
      </w:pPr>
      <w:r w:rsidRPr="00401A72">
        <w:rPr>
          <w:rFonts w:ascii="Calibri" w:hAnsi="Calibri" w:cs="Calibri"/>
        </w:rPr>
        <w:lastRenderedPageBreak/>
        <w:t>Fields of Expertise for Registered Nutritionists</w:t>
      </w:r>
    </w:p>
    <w:p w14:paraId="4C7557AC" w14:textId="77777777" w:rsidR="001F7768" w:rsidRDefault="001F7768">
      <w:pPr>
        <w:rPr>
          <w:rFonts w:ascii="Arial" w:eastAsia="Arial" w:hAnsi="Arial" w:cs="Arial"/>
        </w:rPr>
      </w:pPr>
    </w:p>
    <w:p w14:paraId="4CB14091" w14:textId="151291E3" w:rsidR="001F7768" w:rsidRDefault="001F7768">
      <w:pPr>
        <w:rPr>
          <w:rFonts w:ascii="Arial" w:eastAsia="Arial" w:hAnsi="Arial" w:cs="Arial"/>
        </w:rPr>
      </w:pPr>
      <w:r>
        <w:t xml:space="preserve">Each </w:t>
      </w:r>
      <w:r w:rsidRPr="00E10E02">
        <w:t xml:space="preserve">Registered Nutritionists </w:t>
      </w:r>
      <w:r>
        <w:t xml:space="preserve">is </w:t>
      </w:r>
      <w:r w:rsidRPr="00E10E02">
        <w:t>registered in a</w:t>
      </w:r>
      <w:r w:rsidR="00780626">
        <w:t>t least one</w:t>
      </w:r>
      <w:r w:rsidRPr="00E10E02">
        <w:t xml:space="preserve"> field of expertise</w:t>
      </w:r>
      <w:r>
        <w:t xml:space="preserve">, as </w:t>
      </w:r>
      <w:r w:rsidR="0036166C">
        <w:t>determined</w:t>
      </w:r>
      <w:r>
        <w:t xml:space="preserve"> by the Registration Panel</w:t>
      </w:r>
      <w:r w:rsidR="00FA4B73">
        <w:t xml:space="preserve"> of the NSNZ</w:t>
      </w:r>
      <w:r>
        <w:t>.</w:t>
      </w:r>
    </w:p>
    <w:p w14:paraId="53DE1240" w14:textId="77777777" w:rsidR="00EE403F" w:rsidRDefault="00EE403F" w:rsidP="00EE403F">
      <w:pPr>
        <w:rPr>
          <w:i/>
        </w:rPr>
      </w:pPr>
    </w:p>
    <w:tbl>
      <w:tblPr>
        <w:tblStyle w:val="a0"/>
        <w:tblW w:w="949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9"/>
        <w:gridCol w:w="1884"/>
        <w:gridCol w:w="5650"/>
      </w:tblGrid>
      <w:tr w:rsidR="00EE403F" w14:paraId="059FE51F" w14:textId="77777777" w:rsidTr="007E71C3">
        <w:trPr>
          <w:tblHeader/>
        </w:trPr>
        <w:tc>
          <w:tcPr>
            <w:tcW w:w="9493" w:type="dxa"/>
            <w:gridSpan w:val="3"/>
            <w:tcBorders>
              <w:bottom w:val="single" w:sz="4" w:space="0" w:color="000000"/>
            </w:tcBorders>
          </w:tcPr>
          <w:p w14:paraId="096F15B1" w14:textId="77777777" w:rsidR="00EE403F" w:rsidRPr="004D14E7" w:rsidRDefault="00EE403F" w:rsidP="007E71C3">
            <w:pPr>
              <w:rPr>
                <w:b/>
                <w:sz w:val="20"/>
              </w:rPr>
            </w:pPr>
            <w:r w:rsidRPr="004D14E7">
              <w:rPr>
                <w:b/>
                <w:sz w:val="20"/>
              </w:rPr>
              <w:t>Fields of expertise</w:t>
            </w:r>
          </w:p>
        </w:tc>
      </w:tr>
      <w:tr w:rsidR="00EE403F" w14:paraId="7FF01515" w14:textId="77777777" w:rsidTr="007E71C3">
        <w:trPr>
          <w:tblHeader/>
        </w:trPr>
        <w:tc>
          <w:tcPr>
            <w:tcW w:w="1959" w:type="dxa"/>
            <w:tcBorders>
              <w:bottom w:val="single" w:sz="4" w:space="0" w:color="000000"/>
            </w:tcBorders>
          </w:tcPr>
          <w:p w14:paraId="6225841E" w14:textId="6AF7BF4C" w:rsidR="00EE403F" w:rsidRPr="004D14E7" w:rsidRDefault="00992180" w:rsidP="007E71C3">
            <w:pPr>
              <w:rPr>
                <w:b/>
                <w:sz w:val="20"/>
              </w:rPr>
            </w:pPr>
            <w:r>
              <w:rPr>
                <w:b/>
                <w:sz w:val="20"/>
              </w:rPr>
              <w:t>Field of expertise used for continuing competency</w:t>
            </w:r>
          </w:p>
        </w:tc>
        <w:tc>
          <w:tcPr>
            <w:tcW w:w="1884" w:type="dxa"/>
          </w:tcPr>
          <w:p w14:paraId="4D4A71F9" w14:textId="75B53D27" w:rsidR="0072676D" w:rsidRDefault="005D4B7F" w:rsidP="007E71C3">
            <w:pPr>
              <w:rPr>
                <w:b/>
                <w:sz w:val="20"/>
              </w:rPr>
            </w:pPr>
            <w:r w:rsidRPr="0072676D">
              <w:rPr>
                <w:b/>
                <w:sz w:val="20"/>
              </w:rPr>
              <w:t>Fi</w:t>
            </w:r>
            <w:r w:rsidRPr="001D4CCF">
              <w:rPr>
                <w:b/>
                <w:sz w:val="20"/>
              </w:rPr>
              <w:t>eld</w:t>
            </w:r>
            <w:r w:rsidR="00EE403F" w:rsidRPr="004D14E7">
              <w:rPr>
                <w:b/>
                <w:sz w:val="20"/>
              </w:rPr>
              <w:t xml:space="preserve"> of </w:t>
            </w:r>
            <w:r w:rsidRPr="000011C8">
              <w:rPr>
                <w:b/>
                <w:sz w:val="20"/>
              </w:rPr>
              <w:t>expertise</w:t>
            </w:r>
          </w:p>
          <w:p w14:paraId="544A5308" w14:textId="44F80125" w:rsidR="00EE403F" w:rsidRPr="004D14E7" w:rsidRDefault="00992180" w:rsidP="0072676D">
            <w:pPr>
              <w:rPr>
                <w:b/>
                <w:sz w:val="20"/>
              </w:rPr>
            </w:pPr>
            <w:r>
              <w:rPr>
                <w:b/>
                <w:sz w:val="20"/>
              </w:rPr>
              <w:t>on Registration certificate</w:t>
            </w:r>
            <w:r w:rsidR="0072676D" w:rsidRPr="0072676D">
              <w:rPr>
                <w:b/>
                <w:sz w:val="20"/>
              </w:rPr>
              <w:t xml:space="preserve"> </w:t>
            </w:r>
          </w:p>
        </w:tc>
        <w:tc>
          <w:tcPr>
            <w:tcW w:w="5650" w:type="dxa"/>
          </w:tcPr>
          <w:p w14:paraId="42603578" w14:textId="77777777" w:rsidR="00EE403F" w:rsidRPr="004D14E7" w:rsidRDefault="00EE403F" w:rsidP="007E71C3">
            <w:pPr>
              <w:rPr>
                <w:b/>
                <w:sz w:val="20"/>
              </w:rPr>
            </w:pPr>
            <w:r w:rsidRPr="004D14E7">
              <w:rPr>
                <w:b/>
                <w:sz w:val="20"/>
              </w:rPr>
              <w:t>Definition</w:t>
            </w:r>
          </w:p>
        </w:tc>
      </w:tr>
      <w:tr w:rsidR="00EE403F" w14:paraId="765B8973" w14:textId="77777777" w:rsidTr="007E71C3">
        <w:tc>
          <w:tcPr>
            <w:tcW w:w="1959" w:type="dxa"/>
            <w:tcBorders>
              <w:bottom w:val="nil"/>
            </w:tcBorders>
          </w:tcPr>
          <w:p w14:paraId="3865B453" w14:textId="77777777" w:rsidR="00EE403F" w:rsidRPr="004D14E7" w:rsidRDefault="00EE403F" w:rsidP="007E71C3">
            <w:pPr>
              <w:rPr>
                <w:sz w:val="20"/>
              </w:rPr>
            </w:pPr>
            <w:r w:rsidRPr="004D14E7">
              <w:rPr>
                <w:sz w:val="20"/>
              </w:rPr>
              <w:t>Scientific Research</w:t>
            </w:r>
          </w:p>
        </w:tc>
        <w:tc>
          <w:tcPr>
            <w:tcW w:w="1884" w:type="dxa"/>
          </w:tcPr>
          <w:p w14:paraId="30C3AAFF" w14:textId="77777777" w:rsidR="00EE403F" w:rsidRPr="004D14E7" w:rsidRDefault="00EE403F" w:rsidP="007E71C3">
            <w:pPr>
              <w:rPr>
                <w:sz w:val="20"/>
              </w:rPr>
            </w:pPr>
            <w:r w:rsidRPr="004D14E7">
              <w:rPr>
                <w:sz w:val="20"/>
              </w:rPr>
              <w:t>Scientific Research: Academic</w:t>
            </w:r>
          </w:p>
        </w:tc>
        <w:tc>
          <w:tcPr>
            <w:tcW w:w="5650" w:type="dxa"/>
          </w:tcPr>
          <w:p w14:paraId="5D83C01E" w14:textId="77777777" w:rsidR="00EE403F" w:rsidRPr="004D14E7" w:rsidRDefault="00EE403F" w:rsidP="007E71C3">
            <w:pPr>
              <w:rPr>
                <w:sz w:val="20"/>
              </w:rPr>
            </w:pPr>
            <w:r w:rsidRPr="004D14E7">
              <w:rPr>
                <w:sz w:val="20"/>
              </w:rPr>
              <w:t>Generally working in academia or a scientific institute, regularly publishing peer-reviewed research.</w:t>
            </w:r>
          </w:p>
          <w:p w14:paraId="226E23AE" w14:textId="77777777" w:rsidR="00EE403F" w:rsidRPr="004D14E7" w:rsidRDefault="00EE403F" w:rsidP="007E71C3">
            <w:pPr>
              <w:rPr>
                <w:sz w:val="20"/>
              </w:rPr>
            </w:pPr>
            <w:r w:rsidRPr="004D14E7">
              <w:rPr>
                <w:sz w:val="20"/>
              </w:rPr>
              <w:t>For example, Scientist at Plant and Food Research, scientist at a university.</w:t>
            </w:r>
          </w:p>
        </w:tc>
      </w:tr>
      <w:tr w:rsidR="00EE403F" w14:paraId="27FFE988" w14:textId="77777777" w:rsidTr="007E71C3">
        <w:tc>
          <w:tcPr>
            <w:tcW w:w="1959" w:type="dxa"/>
            <w:tcBorders>
              <w:top w:val="nil"/>
            </w:tcBorders>
          </w:tcPr>
          <w:p w14:paraId="30B4E64E" w14:textId="77777777" w:rsidR="00EE403F" w:rsidRPr="004D14E7" w:rsidRDefault="00EE403F" w:rsidP="007E71C3">
            <w:pPr>
              <w:rPr>
                <w:sz w:val="20"/>
              </w:rPr>
            </w:pPr>
          </w:p>
        </w:tc>
        <w:tc>
          <w:tcPr>
            <w:tcW w:w="1884" w:type="dxa"/>
          </w:tcPr>
          <w:p w14:paraId="26F41CF9" w14:textId="77777777" w:rsidR="00EE403F" w:rsidRPr="004D14E7" w:rsidRDefault="00EE403F" w:rsidP="007E71C3">
            <w:pPr>
              <w:rPr>
                <w:sz w:val="20"/>
              </w:rPr>
            </w:pPr>
            <w:r w:rsidRPr="004D14E7">
              <w:rPr>
                <w:sz w:val="20"/>
              </w:rPr>
              <w:t>Scientific Research Industry</w:t>
            </w:r>
          </w:p>
        </w:tc>
        <w:tc>
          <w:tcPr>
            <w:tcW w:w="5650" w:type="dxa"/>
          </w:tcPr>
          <w:p w14:paraId="7E083FBD" w14:textId="77777777" w:rsidR="00EE403F" w:rsidRPr="004D14E7" w:rsidRDefault="00EE403F" w:rsidP="007E71C3">
            <w:pPr>
              <w:rPr>
                <w:sz w:val="20"/>
              </w:rPr>
            </w:pPr>
            <w:r w:rsidRPr="004D14E7">
              <w:rPr>
                <w:sz w:val="20"/>
              </w:rPr>
              <w:t>Generally working in a scientific institute or food-related company, regularly publishing peer-reviewed research.</w:t>
            </w:r>
          </w:p>
          <w:p w14:paraId="1D823A36" w14:textId="77777777" w:rsidR="00EE403F" w:rsidRPr="004D14E7" w:rsidRDefault="00EE403F" w:rsidP="007E71C3">
            <w:pPr>
              <w:rPr>
                <w:sz w:val="20"/>
              </w:rPr>
            </w:pPr>
            <w:r w:rsidRPr="004D14E7">
              <w:rPr>
                <w:sz w:val="20"/>
              </w:rPr>
              <w:t>For example, Scientist at Fonterra.</w:t>
            </w:r>
          </w:p>
        </w:tc>
      </w:tr>
      <w:tr w:rsidR="00EE403F" w14:paraId="445FC4C5" w14:textId="77777777" w:rsidTr="00FF3AC9">
        <w:tc>
          <w:tcPr>
            <w:tcW w:w="1959" w:type="dxa"/>
            <w:tcBorders>
              <w:bottom w:val="single" w:sz="4" w:space="0" w:color="000000"/>
            </w:tcBorders>
          </w:tcPr>
          <w:p w14:paraId="1FAEDDED" w14:textId="77777777" w:rsidR="00EE403F" w:rsidRPr="004D14E7" w:rsidRDefault="00EE403F" w:rsidP="007E71C3">
            <w:pPr>
              <w:rPr>
                <w:sz w:val="20"/>
              </w:rPr>
            </w:pPr>
            <w:r w:rsidRPr="004D14E7">
              <w:rPr>
                <w:sz w:val="20"/>
              </w:rPr>
              <w:t>Practice</w:t>
            </w:r>
          </w:p>
        </w:tc>
        <w:tc>
          <w:tcPr>
            <w:tcW w:w="1884" w:type="dxa"/>
          </w:tcPr>
          <w:p w14:paraId="12848692" w14:textId="77777777" w:rsidR="00EE403F" w:rsidRPr="004D14E7" w:rsidRDefault="00EE403F" w:rsidP="007E71C3">
            <w:pPr>
              <w:rPr>
                <w:sz w:val="20"/>
              </w:rPr>
            </w:pPr>
            <w:r w:rsidRPr="004D14E7">
              <w:rPr>
                <w:sz w:val="20"/>
              </w:rPr>
              <w:t>Practice</w:t>
            </w:r>
          </w:p>
        </w:tc>
        <w:tc>
          <w:tcPr>
            <w:tcW w:w="5650" w:type="dxa"/>
          </w:tcPr>
          <w:p w14:paraId="012B4EBB" w14:textId="77777777" w:rsidR="00EE403F" w:rsidRPr="004D14E7" w:rsidRDefault="00EE403F" w:rsidP="007E71C3">
            <w:pPr>
              <w:rPr>
                <w:sz w:val="20"/>
              </w:rPr>
            </w:pPr>
            <w:r w:rsidRPr="004D14E7">
              <w:rPr>
                <w:sz w:val="20"/>
              </w:rPr>
              <w:t>Working with individuals or small groups offering nutrition advice.</w:t>
            </w:r>
          </w:p>
          <w:p w14:paraId="75781E8B" w14:textId="77777777" w:rsidR="00EE403F" w:rsidRPr="004D14E7" w:rsidRDefault="00EE403F" w:rsidP="007E71C3">
            <w:pPr>
              <w:rPr>
                <w:sz w:val="20"/>
              </w:rPr>
            </w:pPr>
            <w:r w:rsidRPr="004D14E7">
              <w:rPr>
                <w:sz w:val="20"/>
              </w:rPr>
              <w:t>Mentored or undertaking professional supervision with a Registered Nutritionist or Dietitian</w:t>
            </w:r>
          </w:p>
          <w:p w14:paraId="1C38A6B2" w14:textId="77777777" w:rsidR="00EE403F" w:rsidRPr="004D14E7" w:rsidRDefault="00EE403F" w:rsidP="007E71C3">
            <w:pPr>
              <w:rPr>
                <w:sz w:val="20"/>
              </w:rPr>
            </w:pPr>
            <w:r w:rsidRPr="004D14E7">
              <w:rPr>
                <w:sz w:val="20"/>
              </w:rPr>
              <w:t xml:space="preserve">For example, medical practice, sports organization, primary health </w:t>
            </w:r>
            <w:proofErr w:type="spellStart"/>
            <w:r w:rsidRPr="004D14E7">
              <w:rPr>
                <w:sz w:val="20"/>
              </w:rPr>
              <w:t>organisation</w:t>
            </w:r>
            <w:proofErr w:type="spellEnd"/>
            <w:r w:rsidRPr="004D14E7">
              <w:rPr>
                <w:sz w:val="20"/>
              </w:rPr>
              <w:t xml:space="preserve">, </w:t>
            </w:r>
            <w:proofErr w:type="spellStart"/>
            <w:r w:rsidRPr="004D14E7">
              <w:rPr>
                <w:sz w:val="20"/>
              </w:rPr>
              <w:t>Mãori</w:t>
            </w:r>
            <w:proofErr w:type="spellEnd"/>
            <w:r w:rsidRPr="004D14E7">
              <w:rPr>
                <w:sz w:val="20"/>
              </w:rPr>
              <w:t xml:space="preserve"> or Pacific health provider</w:t>
            </w:r>
          </w:p>
        </w:tc>
      </w:tr>
      <w:tr w:rsidR="00FF3AC9" w14:paraId="0C88F476" w14:textId="77777777" w:rsidTr="00FF3AC9">
        <w:trPr>
          <w:trHeight w:val="1360"/>
        </w:trPr>
        <w:tc>
          <w:tcPr>
            <w:tcW w:w="1959" w:type="dxa"/>
            <w:tcBorders>
              <w:bottom w:val="single" w:sz="4" w:space="0" w:color="000000"/>
            </w:tcBorders>
          </w:tcPr>
          <w:p w14:paraId="34529560" w14:textId="7DFE3131" w:rsidR="00FF3AC9" w:rsidRPr="004D14E7" w:rsidRDefault="00FF3AC9" w:rsidP="007E71C3">
            <w:pPr>
              <w:rPr>
                <w:sz w:val="20"/>
              </w:rPr>
            </w:pPr>
            <w:r w:rsidRPr="004D14E7">
              <w:rPr>
                <w:sz w:val="20"/>
              </w:rPr>
              <w:t>Public Health</w:t>
            </w:r>
          </w:p>
        </w:tc>
        <w:tc>
          <w:tcPr>
            <w:tcW w:w="1884" w:type="dxa"/>
          </w:tcPr>
          <w:p w14:paraId="5F395013" w14:textId="58D63FAC" w:rsidR="00FF3AC9" w:rsidRPr="004D14E7" w:rsidRDefault="00FF3AC9" w:rsidP="007E71C3">
            <w:pPr>
              <w:rPr>
                <w:sz w:val="20"/>
              </w:rPr>
            </w:pPr>
            <w:r w:rsidRPr="004D14E7">
              <w:rPr>
                <w:sz w:val="20"/>
              </w:rPr>
              <w:t>Public Health</w:t>
            </w:r>
          </w:p>
        </w:tc>
        <w:tc>
          <w:tcPr>
            <w:tcW w:w="5650" w:type="dxa"/>
          </w:tcPr>
          <w:p w14:paraId="0E5EAA13" w14:textId="77777777" w:rsidR="00FF3AC9" w:rsidRPr="004D14E7" w:rsidRDefault="00FF3AC9" w:rsidP="00FF3AC9">
            <w:pPr>
              <w:rPr>
                <w:sz w:val="20"/>
              </w:rPr>
            </w:pPr>
            <w:r w:rsidRPr="004D14E7">
              <w:rPr>
                <w:sz w:val="20"/>
              </w:rPr>
              <w:t>Working in health promotion, policy, advocacy, resource development, nutrition communication, community education.</w:t>
            </w:r>
          </w:p>
          <w:p w14:paraId="34C1DEB1" w14:textId="60AF4F80" w:rsidR="00FF3AC9" w:rsidRPr="004D14E7" w:rsidRDefault="00FF3AC9" w:rsidP="00FF3AC9">
            <w:pPr>
              <w:rPr>
                <w:sz w:val="20"/>
              </w:rPr>
            </w:pPr>
            <w:r w:rsidRPr="004D14E7">
              <w:rPr>
                <w:sz w:val="20"/>
              </w:rPr>
              <w:t xml:space="preserve">For example, Health Promotion Agency, Heart Foundation, DHB Public Health Unit  </w:t>
            </w:r>
          </w:p>
        </w:tc>
      </w:tr>
      <w:tr w:rsidR="00EE403F" w14:paraId="76ADB73C" w14:textId="77777777" w:rsidTr="00FF3AC9">
        <w:trPr>
          <w:trHeight w:val="1520"/>
        </w:trPr>
        <w:tc>
          <w:tcPr>
            <w:tcW w:w="1959" w:type="dxa"/>
            <w:tcBorders>
              <w:top w:val="single" w:sz="4" w:space="0" w:color="000000"/>
            </w:tcBorders>
          </w:tcPr>
          <w:p w14:paraId="71D6F868" w14:textId="2B0EAACC" w:rsidR="00EE403F" w:rsidRPr="004D14E7" w:rsidRDefault="00FF3AC9" w:rsidP="007E71C3">
            <w:pPr>
              <w:rPr>
                <w:sz w:val="20"/>
              </w:rPr>
            </w:pPr>
            <w:r w:rsidRPr="004D14E7">
              <w:rPr>
                <w:sz w:val="20"/>
              </w:rPr>
              <w:t>Nutrition Communication</w:t>
            </w:r>
          </w:p>
        </w:tc>
        <w:tc>
          <w:tcPr>
            <w:tcW w:w="1884" w:type="dxa"/>
          </w:tcPr>
          <w:p w14:paraId="5F049122" w14:textId="77777777" w:rsidR="00EE403F" w:rsidRPr="004D14E7" w:rsidRDefault="00EE403F" w:rsidP="007E71C3">
            <w:pPr>
              <w:rPr>
                <w:sz w:val="20"/>
              </w:rPr>
            </w:pPr>
            <w:r w:rsidRPr="004D14E7">
              <w:rPr>
                <w:sz w:val="20"/>
              </w:rPr>
              <w:t>Nutrition Communication</w:t>
            </w:r>
          </w:p>
        </w:tc>
        <w:tc>
          <w:tcPr>
            <w:tcW w:w="5650" w:type="dxa"/>
          </w:tcPr>
          <w:p w14:paraId="4D40C029" w14:textId="77777777" w:rsidR="00EE403F" w:rsidRPr="004D14E7" w:rsidRDefault="00EE403F" w:rsidP="007E71C3">
            <w:pPr>
              <w:rPr>
                <w:sz w:val="20"/>
              </w:rPr>
            </w:pPr>
            <w:r w:rsidRPr="004D14E7">
              <w:rPr>
                <w:sz w:val="20"/>
              </w:rPr>
              <w:t>Nutrition and health journalism and media work, marketing, public relations, food-writing, and other communication of nutrition-related messages.</w:t>
            </w:r>
          </w:p>
          <w:p w14:paraId="4818B392" w14:textId="77777777" w:rsidR="00EE403F" w:rsidRPr="004D14E7" w:rsidRDefault="00EE403F" w:rsidP="007E71C3">
            <w:pPr>
              <w:rPr>
                <w:sz w:val="20"/>
              </w:rPr>
            </w:pPr>
            <w:r w:rsidRPr="004D14E7">
              <w:rPr>
                <w:sz w:val="20"/>
              </w:rPr>
              <w:t>For example, Food-writer, food industry board, public relations company</w:t>
            </w:r>
          </w:p>
        </w:tc>
      </w:tr>
      <w:tr w:rsidR="00EE403F" w14:paraId="1787CDDB" w14:textId="77777777" w:rsidTr="007E71C3">
        <w:trPr>
          <w:trHeight w:val="960"/>
        </w:trPr>
        <w:tc>
          <w:tcPr>
            <w:tcW w:w="1959" w:type="dxa"/>
            <w:tcBorders>
              <w:bottom w:val="single" w:sz="4" w:space="0" w:color="000000"/>
            </w:tcBorders>
          </w:tcPr>
          <w:p w14:paraId="015B78C7" w14:textId="77777777" w:rsidR="00EE403F" w:rsidRPr="004D14E7" w:rsidRDefault="00EE403F" w:rsidP="007E71C3">
            <w:pPr>
              <w:rPr>
                <w:sz w:val="20"/>
              </w:rPr>
            </w:pPr>
            <w:r w:rsidRPr="004D14E7">
              <w:rPr>
                <w:sz w:val="20"/>
              </w:rPr>
              <w:t>Education</w:t>
            </w:r>
          </w:p>
        </w:tc>
        <w:tc>
          <w:tcPr>
            <w:tcW w:w="1884" w:type="dxa"/>
          </w:tcPr>
          <w:p w14:paraId="2D352710" w14:textId="77777777" w:rsidR="00EE403F" w:rsidRPr="004D14E7" w:rsidRDefault="00EE403F" w:rsidP="007E71C3">
            <w:pPr>
              <w:rPr>
                <w:sz w:val="20"/>
              </w:rPr>
            </w:pPr>
            <w:r w:rsidRPr="004D14E7">
              <w:rPr>
                <w:sz w:val="20"/>
              </w:rPr>
              <w:t>Education</w:t>
            </w:r>
          </w:p>
        </w:tc>
        <w:tc>
          <w:tcPr>
            <w:tcW w:w="5650" w:type="dxa"/>
          </w:tcPr>
          <w:p w14:paraId="6B285033" w14:textId="77777777" w:rsidR="00EE403F" w:rsidRPr="004D14E7" w:rsidRDefault="00EE403F" w:rsidP="007E71C3">
            <w:pPr>
              <w:rPr>
                <w:sz w:val="20"/>
              </w:rPr>
            </w:pPr>
            <w:r w:rsidRPr="004D14E7">
              <w:rPr>
                <w:sz w:val="20"/>
              </w:rPr>
              <w:t>Working in an educational institute, planning courses, delivering lectures/seminars/classes, assessment of work.</w:t>
            </w:r>
          </w:p>
          <w:p w14:paraId="0499B37F" w14:textId="77777777" w:rsidR="00EE403F" w:rsidRPr="004D14E7" w:rsidRDefault="00EE403F" w:rsidP="007E71C3">
            <w:pPr>
              <w:rPr>
                <w:sz w:val="20"/>
              </w:rPr>
            </w:pPr>
            <w:r w:rsidRPr="004D14E7">
              <w:rPr>
                <w:sz w:val="20"/>
              </w:rPr>
              <w:t>For example, university, institute of technology, school.</w:t>
            </w:r>
          </w:p>
        </w:tc>
      </w:tr>
      <w:tr w:rsidR="00EE403F" w14:paraId="689D600F" w14:textId="77777777" w:rsidTr="007E71C3">
        <w:trPr>
          <w:trHeight w:val="1180"/>
        </w:trPr>
        <w:tc>
          <w:tcPr>
            <w:tcW w:w="1959" w:type="dxa"/>
            <w:tcBorders>
              <w:bottom w:val="nil"/>
            </w:tcBorders>
          </w:tcPr>
          <w:p w14:paraId="2A6EFB44" w14:textId="77777777" w:rsidR="00EE403F" w:rsidRDefault="00DD771F" w:rsidP="007E71C3">
            <w:pPr>
              <w:rPr>
                <w:sz w:val="20"/>
              </w:rPr>
            </w:pPr>
            <w:r w:rsidRPr="004D14E7">
              <w:rPr>
                <w:sz w:val="20"/>
              </w:rPr>
              <w:t>Food Industry</w:t>
            </w:r>
          </w:p>
          <w:p w14:paraId="4FF0FF4F" w14:textId="2B9E85CB" w:rsidR="0072676D" w:rsidRPr="004D14E7" w:rsidRDefault="0072676D" w:rsidP="007E71C3">
            <w:pPr>
              <w:rPr>
                <w:sz w:val="20"/>
              </w:rPr>
            </w:pPr>
          </w:p>
        </w:tc>
        <w:tc>
          <w:tcPr>
            <w:tcW w:w="1884" w:type="dxa"/>
          </w:tcPr>
          <w:p w14:paraId="6B7F4EBE" w14:textId="77777777" w:rsidR="00EE403F" w:rsidRPr="004D14E7" w:rsidRDefault="00EE403F" w:rsidP="007E71C3">
            <w:pPr>
              <w:rPr>
                <w:sz w:val="20"/>
              </w:rPr>
            </w:pPr>
            <w:r w:rsidRPr="004D14E7">
              <w:rPr>
                <w:sz w:val="20"/>
              </w:rPr>
              <w:t>Food Industry</w:t>
            </w:r>
          </w:p>
        </w:tc>
        <w:tc>
          <w:tcPr>
            <w:tcW w:w="5650" w:type="dxa"/>
          </w:tcPr>
          <w:p w14:paraId="0DFCAF16" w14:textId="77777777" w:rsidR="00EE403F" w:rsidRPr="004D14E7" w:rsidRDefault="00EE403F" w:rsidP="007E71C3">
            <w:pPr>
              <w:rPr>
                <w:sz w:val="20"/>
              </w:rPr>
            </w:pPr>
            <w:r w:rsidRPr="004D14E7">
              <w:rPr>
                <w:sz w:val="20"/>
              </w:rPr>
              <w:t>Provide advice to industry clients, technical and nutrition information, marketing.</w:t>
            </w:r>
          </w:p>
          <w:p w14:paraId="31D58D60" w14:textId="77777777" w:rsidR="00EE403F" w:rsidRPr="004D14E7" w:rsidRDefault="00EE403F" w:rsidP="007E71C3">
            <w:pPr>
              <w:rPr>
                <w:sz w:val="20"/>
              </w:rPr>
            </w:pPr>
            <w:r w:rsidRPr="004D14E7">
              <w:rPr>
                <w:sz w:val="20"/>
              </w:rPr>
              <w:t>For example, Fonterra, Beef and Lamb, Nestle, Wyeth, infant feeding.</w:t>
            </w:r>
          </w:p>
        </w:tc>
      </w:tr>
      <w:tr w:rsidR="00EE403F" w14:paraId="1784CB77" w14:textId="77777777" w:rsidTr="007E71C3">
        <w:trPr>
          <w:trHeight w:val="960"/>
        </w:trPr>
        <w:tc>
          <w:tcPr>
            <w:tcW w:w="1959" w:type="dxa"/>
            <w:tcBorders>
              <w:top w:val="nil"/>
            </w:tcBorders>
          </w:tcPr>
          <w:p w14:paraId="787B0486" w14:textId="77777777" w:rsidR="00EE403F" w:rsidRPr="004D14E7" w:rsidRDefault="00EE403F" w:rsidP="007E71C3">
            <w:pPr>
              <w:rPr>
                <w:sz w:val="20"/>
              </w:rPr>
            </w:pPr>
          </w:p>
        </w:tc>
        <w:tc>
          <w:tcPr>
            <w:tcW w:w="1884" w:type="dxa"/>
          </w:tcPr>
          <w:p w14:paraId="22698A28" w14:textId="77777777" w:rsidR="00EE403F" w:rsidRPr="004D14E7" w:rsidRDefault="00EE403F" w:rsidP="007E71C3">
            <w:pPr>
              <w:rPr>
                <w:sz w:val="20"/>
              </w:rPr>
            </w:pPr>
            <w:r w:rsidRPr="004D14E7">
              <w:rPr>
                <w:sz w:val="20"/>
              </w:rPr>
              <w:t>Food-service</w:t>
            </w:r>
          </w:p>
        </w:tc>
        <w:tc>
          <w:tcPr>
            <w:tcW w:w="5650" w:type="dxa"/>
          </w:tcPr>
          <w:p w14:paraId="45E5F593" w14:textId="77777777" w:rsidR="00EE403F" w:rsidRPr="004D14E7" w:rsidRDefault="00EE403F" w:rsidP="007E71C3">
            <w:pPr>
              <w:rPr>
                <w:sz w:val="20"/>
              </w:rPr>
            </w:pPr>
            <w:r w:rsidRPr="004D14E7">
              <w:rPr>
                <w:sz w:val="20"/>
              </w:rPr>
              <w:t>Working in a food-service setting providing nutrition expertise for menu-planning, recipe development etc.</w:t>
            </w:r>
          </w:p>
          <w:p w14:paraId="220AE876" w14:textId="77777777" w:rsidR="00EE403F" w:rsidRPr="004D14E7" w:rsidRDefault="00EE403F" w:rsidP="007E71C3">
            <w:pPr>
              <w:rPr>
                <w:sz w:val="20"/>
              </w:rPr>
            </w:pPr>
            <w:r w:rsidRPr="004D14E7">
              <w:rPr>
                <w:sz w:val="20"/>
              </w:rPr>
              <w:t>For example, Hospital food-service, catering company.</w:t>
            </w:r>
          </w:p>
        </w:tc>
      </w:tr>
    </w:tbl>
    <w:p w14:paraId="64EEDD6A" w14:textId="43ED25D6" w:rsidR="003D4363" w:rsidRPr="00B5046B" w:rsidRDefault="0072676D" w:rsidP="005C7663">
      <w:r w:rsidRPr="004D14E7">
        <w:rPr>
          <w:rFonts w:asciiTheme="majorHAnsi" w:eastAsia="Arial" w:hAnsiTheme="majorHAnsi" w:cstheme="majorHAnsi"/>
        </w:rPr>
        <w:t xml:space="preserve">Please refer to the </w:t>
      </w:r>
      <w:r w:rsidR="00CE33B1">
        <w:rPr>
          <w:rFonts w:asciiTheme="majorHAnsi" w:eastAsia="Arial" w:hAnsiTheme="majorHAnsi" w:cstheme="majorHAnsi"/>
        </w:rPr>
        <w:t>document</w:t>
      </w:r>
      <w:r w:rsidR="00B5046B">
        <w:rPr>
          <w:rFonts w:asciiTheme="majorHAnsi" w:eastAsia="Arial" w:hAnsiTheme="majorHAnsi" w:cstheme="majorHAnsi"/>
        </w:rPr>
        <w:t xml:space="preserve"> ‘</w:t>
      </w:r>
      <w:r w:rsidRPr="004D14E7">
        <w:rPr>
          <w:rFonts w:asciiTheme="majorHAnsi" w:eastAsia="Arial" w:hAnsiTheme="majorHAnsi" w:cstheme="majorHAnsi"/>
        </w:rPr>
        <w:t>Detailed Core Competencies</w:t>
      </w:r>
      <w:r w:rsidR="0031272D">
        <w:rPr>
          <w:rFonts w:asciiTheme="majorHAnsi" w:eastAsia="Arial" w:hAnsiTheme="majorHAnsi" w:cstheme="majorHAnsi"/>
        </w:rPr>
        <w:t xml:space="preserve"> for each Field of Expertise</w:t>
      </w:r>
      <w:r w:rsidR="00B5046B">
        <w:rPr>
          <w:rFonts w:asciiTheme="majorHAnsi" w:eastAsia="Arial" w:hAnsiTheme="majorHAnsi" w:cstheme="majorHAnsi"/>
        </w:rPr>
        <w:t>’</w:t>
      </w:r>
      <w:r w:rsidRPr="004D14E7">
        <w:rPr>
          <w:rFonts w:asciiTheme="majorHAnsi" w:eastAsia="Arial" w:hAnsiTheme="majorHAnsi" w:cstheme="majorHAnsi"/>
        </w:rPr>
        <w:t xml:space="preserve"> for examples</w:t>
      </w:r>
      <w:r w:rsidR="001D2C23" w:rsidRPr="004D14E7">
        <w:rPr>
          <w:rFonts w:asciiTheme="majorHAnsi" w:eastAsia="Arial" w:hAnsiTheme="majorHAnsi" w:cstheme="majorHAnsi"/>
        </w:rPr>
        <w:t xml:space="preserve"> of continuing competency for each field of expertise.</w:t>
      </w:r>
    </w:p>
    <w:p w14:paraId="50CFE7FC" w14:textId="3AB109FE" w:rsidR="0080225A" w:rsidRDefault="0080225A" w:rsidP="0080225A">
      <w:pPr>
        <w:rPr>
          <w:color w:val="2F5496"/>
          <w:sz w:val="32"/>
          <w:szCs w:val="32"/>
        </w:rPr>
      </w:pPr>
      <w:r>
        <w:br w:type="page"/>
      </w:r>
    </w:p>
    <w:p w14:paraId="5A452A3E" w14:textId="77777777" w:rsidR="00CC0B2B" w:rsidRPr="00401A72" w:rsidRDefault="00F438C4" w:rsidP="004D14E7">
      <w:pPr>
        <w:pStyle w:val="Heading2"/>
        <w:rPr>
          <w:rFonts w:ascii="Calibri" w:hAnsi="Calibri" w:cs="Calibri"/>
        </w:rPr>
      </w:pPr>
      <w:r w:rsidRPr="00401A72">
        <w:rPr>
          <w:rFonts w:ascii="Calibri" w:hAnsi="Calibri" w:cs="Calibri"/>
        </w:rPr>
        <w:lastRenderedPageBreak/>
        <w:t>Core Competencies for Registered Nutritionists</w:t>
      </w:r>
    </w:p>
    <w:p w14:paraId="2A7279FF" w14:textId="77777777" w:rsidR="00CC0B2B" w:rsidRDefault="00CC0B2B">
      <w:pPr>
        <w:rPr>
          <w:rFonts w:ascii="Arial" w:eastAsia="Arial" w:hAnsi="Arial" w:cs="Arial"/>
        </w:rPr>
      </w:pPr>
    </w:p>
    <w:p w14:paraId="04BEED94" w14:textId="3DAFBB2F" w:rsidR="00CC0B2B" w:rsidRDefault="00F438C4">
      <w:pPr>
        <w:rPr>
          <w:rFonts w:ascii="MS Gothic" w:eastAsia="MS Gothic" w:hAnsi="MS Gothic" w:cs="MS Gothic"/>
        </w:rPr>
      </w:pPr>
      <w:r>
        <w:t xml:space="preserve">The </w:t>
      </w:r>
      <w:r w:rsidR="00E6432C">
        <w:t xml:space="preserve">five </w:t>
      </w:r>
      <w:r>
        <w:t xml:space="preserve">core competencies </w:t>
      </w:r>
      <w:r w:rsidR="00E6432C">
        <w:t xml:space="preserve">below </w:t>
      </w:r>
      <w:r>
        <w:t>are applicable to all Registered Nutritionists through demonstration of knowledge and understanding (for Associate Registration) and through demonstration of knowledge, understanding and practical application (for Registered Nutritionists).</w:t>
      </w:r>
      <w:r w:rsidR="002235A0">
        <w:rPr>
          <w:rFonts w:ascii="MS Gothic" w:eastAsia="MS Gothic" w:hAnsi="MS Gothic" w:cs="MS Gothic"/>
        </w:rPr>
        <w:t xml:space="preserve"> </w:t>
      </w:r>
      <w:r w:rsidR="00E6432C">
        <w:t xml:space="preserve">These competencies are focused on human nutritionists rather than animal or plant nutritionists. </w:t>
      </w:r>
    </w:p>
    <w:p w14:paraId="2BACF440" w14:textId="77777777" w:rsidR="00CC0B2B" w:rsidRDefault="00CC0B2B"/>
    <w:tbl>
      <w:tblPr>
        <w:tblStyle w:val="a"/>
        <w:tblW w:w="94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2"/>
        <w:gridCol w:w="7526"/>
      </w:tblGrid>
      <w:tr w:rsidR="00C45EDA" w14:paraId="754F7E96" w14:textId="77777777" w:rsidTr="004D14E7">
        <w:tc>
          <w:tcPr>
            <w:tcW w:w="9468" w:type="dxa"/>
            <w:gridSpan w:val="2"/>
          </w:tcPr>
          <w:p w14:paraId="49A5B64D" w14:textId="4D21B409" w:rsidR="00C45EDA" w:rsidRPr="0049089D" w:rsidRDefault="00265CF8" w:rsidP="004D14E7">
            <w:pPr>
              <w:pStyle w:val="NoSpacing"/>
            </w:pPr>
            <w:r w:rsidRPr="0049089D">
              <w:rPr>
                <w:b/>
              </w:rPr>
              <w:t>Core competencies</w:t>
            </w:r>
            <w:r w:rsidR="004D3294" w:rsidRPr="0049089D">
              <w:rPr>
                <w:b/>
              </w:rPr>
              <w:t xml:space="preserve"> (Human Nutritionist)</w:t>
            </w:r>
          </w:p>
        </w:tc>
      </w:tr>
      <w:tr w:rsidR="00C45EDA" w14:paraId="201C417A" w14:textId="77777777" w:rsidTr="004D14E7">
        <w:tc>
          <w:tcPr>
            <w:tcW w:w="1942" w:type="dxa"/>
          </w:tcPr>
          <w:p w14:paraId="05F88598" w14:textId="4AC7EC14" w:rsidR="00C45EDA" w:rsidRDefault="007745C5" w:rsidP="00C45EDA">
            <w:r>
              <w:t>CC</w:t>
            </w:r>
            <w:r w:rsidR="00C45EDA">
              <w:t>1 - Science</w:t>
            </w:r>
          </w:p>
        </w:tc>
        <w:tc>
          <w:tcPr>
            <w:tcW w:w="7526" w:type="dxa"/>
          </w:tcPr>
          <w:p w14:paraId="2A29C94C" w14:textId="275D9248" w:rsidR="00C45EDA" w:rsidRDefault="00C45EDA" w:rsidP="00C45EDA">
            <w:r>
              <w:t xml:space="preserve">Knowledge and understanding of the scientific basis of nutrition. Understanding nutritional requirements from the molecular through to the population level – for either human or animal systems. </w:t>
            </w:r>
            <w:r>
              <w:rPr>
                <w:rFonts w:ascii="MS Gothic" w:eastAsia="MS Gothic" w:hAnsi="MS Gothic" w:cs="MS Gothic"/>
              </w:rPr>
              <w:t> </w:t>
            </w:r>
          </w:p>
        </w:tc>
      </w:tr>
      <w:tr w:rsidR="00C45EDA" w14:paraId="6EC6ABD0" w14:textId="77777777" w:rsidTr="004D14E7">
        <w:tc>
          <w:tcPr>
            <w:tcW w:w="1942" w:type="dxa"/>
          </w:tcPr>
          <w:p w14:paraId="05B83FCD" w14:textId="30146946" w:rsidR="00C45EDA" w:rsidRDefault="007745C5" w:rsidP="00C45EDA">
            <w:r>
              <w:t>CC</w:t>
            </w:r>
            <w:r w:rsidR="00C45EDA">
              <w:t xml:space="preserve">2 - Food </w:t>
            </w:r>
            <w:r w:rsidR="00182D1C">
              <w:t>Systems</w:t>
            </w:r>
          </w:p>
        </w:tc>
        <w:tc>
          <w:tcPr>
            <w:tcW w:w="7526" w:type="dxa"/>
          </w:tcPr>
          <w:p w14:paraId="08743FF7" w14:textId="3E76B553" w:rsidR="00C45EDA" w:rsidRDefault="00C45EDA" w:rsidP="00C45EDA">
            <w:r>
              <w:t xml:space="preserve">Knowledge and understanding of food </w:t>
            </w:r>
            <w:r w:rsidR="00182D1C">
              <w:t>systems</w:t>
            </w:r>
            <w:r>
              <w:t xml:space="preserve"> and its impact on food choice. Integrating the food supply with dietary intake.</w:t>
            </w:r>
          </w:p>
        </w:tc>
      </w:tr>
      <w:tr w:rsidR="00C45EDA" w14:paraId="45472628" w14:textId="77777777" w:rsidTr="004D14E7">
        <w:tc>
          <w:tcPr>
            <w:tcW w:w="1942" w:type="dxa"/>
          </w:tcPr>
          <w:p w14:paraId="56BA3688" w14:textId="0E6F5E20" w:rsidR="00C45EDA" w:rsidRDefault="007745C5" w:rsidP="00C45EDA">
            <w:r>
              <w:t>CC</w:t>
            </w:r>
            <w:r w:rsidR="00C45EDA">
              <w:t>3 - Social/</w:t>
            </w:r>
            <w:proofErr w:type="spellStart"/>
            <w:r w:rsidR="00C45EDA">
              <w:t>Behaviour</w:t>
            </w:r>
            <w:proofErr w:type="spellEnd"/>
          </w:p>
        </w:tc>
        <w:tc>
          <w:tcPr>
            <w:tcW w:w="7526" w:type="dxa"/>
          </w:tcPr>
          <w:p w14:paraId="40CAF5DE" w14:textId="3244405B" w:rsidR="00C45EDA" w:rsidRDefault="00C45EDA" w:rsidP="00C45EDA">
            <w:r>
              <w:t xml:space="preserve">Knowledge and understanding of food in a social or </w:t>
            </w:r>
            <w:proofErr w:type="spellStart"/>
            <w:r>
              <w:t>behavioural</w:t>
            </w:r>
            <w:proofErr w:type="spellEnd"/>
            <w:r>
              <w:t xml:space="preserve"> context, at all stages of the life</w:t>
            </w:r>
            <w:r w:rsidR="00E96D48">
              <w:t>-</w:t>
            </w:r>
            <w:r>
              <w:t>course.</w:t>
            </w:r>
          </w:p>
        </w:tc>
      </w:tr>
      <w:tr w:rsidR="00C45EDA" w14:paraId="36B96317" w14:textId="77777777" w:rsidTr="004D14E7">
        <w:tc>
          <w:tcPr>
            <w:tcW w:w="1942" w:type="dxa"/>
          </w:tcPr>
          <w:p w14:paraId="558FA492" w14:textId="3B335010" w:rsidR="00C45EDA" w:rsidRDefault="007745C5" w:rsidP="00C45EDA">
            <w:r>
              <w:t>CC</w:t>
            </w:r>
            <w:r w:rsidR="00C45EDA">
              <w:t>4 - Health/Wellbeing</w:t>
            </w:r>
          </w:p>
        </w:tc>
        <w:tc>
          <w:tcPr>
            <w:tcW w:w="7526" w:type="dxa"/>
          </w:tcPr>
          <w:p w14:paraId="02A95F4B" w14:textId="77478BDE" w:rsidR="00C45EDA" w:rsidRDefault="00C45EDA" w:rsidP="00C45EDA">
            <w:r>
              <w:t xml:space="preserve">Application of the scientific principles of nutrition for the promotion of health and wellbeing of individuals, groups and populations; </w:t>
            </w:r>
            <w:proofErr w:type="spellStart"/>
            <w:r>
              <w:t>recognising</w:t>
            </w:r>
            <w:proofErr w:type="spellEnd"/>
            <w:r>
              <w:t xml:space="preserve"> benefits and risks.</w:t>
            </w:r>
          </w:p>
        </w:tc>
      </w:tr>
      <w:tr w:rsidR="00C45EDA" w14:paraId="7EF4F17E" w14:textId="77777777" w:rsidTr="004D14E7">
        <w:tc>
          <w:tcPr>
            <w:tcW w:w="1942" w:type="dxa"/>
          </w:tcPr>
          <w:p w14:paraId="011B2E99" w14:textId="4287E484" w:rsidR="00C45EDA" w:rsidRDefault="007745C5" w:rsidP="00C45EDA">
            <w:r>
              <w:t>PC</w:t>
            </w:r>
            <w:r w:rsidR="00C45EDA">
              <w:t xml:space="preserve"> - Professional Conduct</w:t>
            </w:r>
          </w:p>
        </w:tc>
        <w:tc>
          <w:tcPr>
            <w:tcW w:w="7526" w:type="dxa"/>
          </w:tcPr>
          <w:p w14:paraId="0AD74168" w14:textId="6E0C922B" w:rsidR="00C45EDA" w:rsidRDefault="00C45EDA" w:rsidP="00C45EDA">
            <w:r>
              <w:t xml:space="preserve">Understanding of professional conduct and the Nutrition Society’s </w:t>
            </w:r>
            <w:r w:rsidRPr="008851F0">
              <w:rPr>
                <w:i/>
              </w:rPr>
              <w:t>Code of Professional Standards and Ethics</w:t>
            </w:r>
            <w:r>
              <w:t xml:space="preserve"> with evidence of good character.</w:t>
            </w:r>
          </w:p>
        </w:tc>
      </w:tr>
    </w:tbl>
    <w:p w14:paraId="15E17BC1" w14:textId="77777777" w:rsidR="00CC0B2B" w:rsidRDefault="00CC0B2B"/>
    <w:p w14:paraId="1662A490" w14:textId="5654CD18" w:rsidR="00530BEE" w:rsidRDefault="007B06CA" w:rsidP="009F7494">
      <w:pPr>
        <w:rPr>
          <w:color w:val="808080" w:themeColor="background1" w:themeShade="80"/>
        </w:rPr>
      </w:pPr>
      <w:r>
        <w:t>Registered Nutritionist</w:t>
      </w:r>
      <w:r w:rsidR="00E82CEC">
        <w:t>s</w:t>
      </w:r>
      <w:r>
        <w:t xml:space="preserve"> </w:t>
      </w:r>
      <w:r w:rsidR="002235A0">
        <w:t>provide evidence of continuing competency for</w:t>
      </w:r>
      <w:r w:rsidR="00F438C4">
        <w:t xml:space="preserve"> </w:t>
      </w:r>
      <w:r>
        <w:t xml:space="preserve">all </w:t>
      </w:r>
      <w:r w:rsidR="00E57AF7">
        <w:t xml:space="preserve">of these </w:t>
      </w:r>
      <w:r w:rsidR="007745C5">
        <w:t>four</w:t>
      </w:r>
      <w:r w:rsidR="00F438C4">
        <w:t xml:space="preserve"> core competencies for each </w:t>
      </w:r>
      <w:r w:rsidR="00224096">
        <w:t>f</w:t>
      </w:r>
      <w:r w:rsidR="00F438C4">
        <w:t xml:space="preserve">ield of </w:t>
      </w:r>
      <w:r w:rsidR="00224096">
        <w:t>e</w:t>
      </w:r>
      <w:r w:rsidR="00F438C4" w:rsidRPr="004854A1">
        <w:t xml:space="preserve">xpertise for which </w:t>
      </w:r>
      <w:r w:rsidRPr="004854A1">
        <w:t>they</w:t>
      </w:r>
      <w:r w:rsidR="00F438C4" w:rsidRPr="004854A1">
        <w:t xml:space="preserve"> are registered</w:t>
      </w:r>
      <w:r w:rsidR="007745C5">
        <w:t>, along with Professional Conduct</w:t>
      </w:r>
      <w:r w:rsidR="00F438C4" w:rsidRPr="004854A1">
        <w:t>.</w:t>
      </w:r>
      <w:r w:rsidR="00E82CEC" w:rsidRPr="004854A1">
        <w:t xml:space="preserve"> </w:t>
      </w:r>
      <w:r w:rsidR="001234C6" w:rsidRPr="004D14E7">
        <w:t>These core competencies can help the applicant to focus and structure their professional development to ensure all competencies</w:t>
      </w:r>
      <w:r w:rsidR="001234C6" w:rsidRPr="00E110A0">
        <w:t xml:space="preserve"> are met</w:t>
      </w:r>
      <w:r w:rsidR="00530BEE">
        <w:rPr>
          <w:color w:val="808080" w:themeColor="background1" w:themeShade="80"/>
        </w:rPr>
        <w:t xml:space="preserve">. </w:t>
      </w:r>
    </w:p>
    <w:p w14:paraId="52F70BCB" w14:textId="77777777" w:rsidR="00530BEE" w:rsidRDefault="00530BEE" w:rsidP="009F7494">
      <w:pPr>
        <w:rPr>
          <w:color w:val="808080" w:themeColor="background1" w:themeShade="80"/>
        </w:rPr>
      </w:pPr>
    </w:p>
    <w:p w14:paraId="59C68626" w14:textId="142759E7" w:rsidR="009F7494" w:rsidRPr="00310C0B" w:rsidRDefault="009F7494" w:rsidP="009F7494">
      <w:r w:rsidRPr="00C21EDA">
        <w:rPr>
          <w:rFonts w:asciiTheme="majorHAnsi" w:eastAsia="Arial" w:hAnsiTheme="majorHAnsi" w:cstheme="majorHAnsi"/>
        </w:rPr>
        <w:t xml:space="preserve">The document ‘Detailed Core Competencies for Each Field of Expertise’ </w:t>
      </w:r>
      <w:r>
        <w:rPr>
          <w:rFonts w:asciiTheme="majorHAnsi" w:eastAsia="Arial" w:hAnsiTheme="majorHAnsi" w:cstheme="majorHAnsi"/>
        </w:rPr>
        <w:t xml:space="preserve">describes detailed examples of areas of knowledge and skills required for </w:t>
      </w:r>
      <w:r w:rsidRPr="00C21EDA">
        <w:rPr>
          <w:rFonts w:asciiTheme="majorHAnsi" w:eastAsia="Arial" w:hAnsiTheme="majorHAnsi" w:cstheme="majorHAnsi"/>
        </w:rPr>
        <w:t xml:space="preserve">each </w:t>
      </w:r>
      <w:r w:rsidR="007745C5">
        <w:rPr>
          <w:rFonts w:asciiTheme="majorHAnsi" w:eastAsia="Arial" w:hAnsiTheme="majorHAnsi" w:cstheme="majorHAnsi"/>
        </w:rPr>
        <w:t xml:space="preserve">of the </w:t>
      </w:r>
      <w:r w:rsidRPr="00C21EDA">
        <w:rPr>
          <w:rFonts w:asciiTheme="majorHAnsi" w:eastAsia="Arial" w:hAnsiTheme="majorHAnsi" w:cstheme="majorHAnsi"/>
        </w:rPr>
        <w:t>core competencies</w:t>
      </w:r>
      <w:r w:rsidR="00A13FA4">
        <w:rPr>
          <w:rFonts w:asciiTheme="majorHAnsi" w:eastAsia="Arial" w:hAnsiTheme="majorHAnsi" w:cstheme="majorHAnsi"/>
        </w:rPr>
        <w:t xml:space="preserve"> per </w:t>
      </w:r>
      <w:r w:rsidR="00A35ACA">
        <w:rPr>
          <w:rFonts w:asciiTheme="majorHAnsi" w:eastAsia="Arial" w:hAnsiTheme="majorHAnsi" w:cstheme="majorHAnsi"/>
        </w:rPr>
        <w:t>f</w:t>
      </w:r>
      <w:r w:rsidR="00A13FA4">
        <w:rPr>
          <w:rFonts w:asciiTheme="majorHAnsi" w:eastAsia="Arial" w:hAnsiTheme="majorHAnsi" w:cstheme="majorHAnsi"/>
        </w:rPr>
        <w:t xml:space="preserve">ield of </w:t>
      </w:r>
      <w:r w:rsidR="00A35ACA">
        <w:rPr>
          <w:rFonts w:asciiTheme="majorHAnsi" w:eastAsia="Arial" w:hAnsiTheme="majorHAnsi" w:cstheme="majorHAnsi"/>
        </w:rPr>
        <w:t>e</w:t>
      </w:r>
      <w:r w:rsidR="00A13FA4">
        <w:rPr>
          <w:rFonts w:asciiTheme="majorHAnsi" w:eastAsia="Arial" w:hAnsiTheme="majorHAnsi" w:cstheme="majorHAnsi"/>
        </w:rPr>
        <w:t>xpertise</w:t>
      </w:r>
      <w:r w:rsidRPr="00C21EDA">
        <w:rPr>
          <w:rFonts w:asciiTheme="majorHAnsi" w:eastAsia="Arial" w:hAnsiTheme="majorHAnsi" w:cstheme="majorHAnsi"/>
        </w:rPr>
        <w:t>.</w:t>
      </w:r>
    </w:p>
    <w:p w14:paraId="0655587C" w14:textId="2FB556D3" w:rsidR="00CC0B2B" w:rsidRDefault="00CC0B2B"/>
    <w:p w14:paraId="6E66F37C" w14:textId="77777777" w:rsidR="00715787" w:rsidRPr="00B446D0" w:rsidRDefault="00715787" w:rsidP="00715787">
      <w:pPr>
        <w:rPr>
          <w:b/>
        </w:rPr>
      </w:pPr>
      <w:r w:rsidRPr="00B446D0">
        <w:rPr>
          <w:b/>
        </w:rPr>
        <w:t>Education</w:t>
      </w:r>
    </w:p>
    <w:p w14:paraId="40297E5D" w14:textId="6FB7BCAB" w:rsidR="00F63D7A" w:rsidRDefault="00355CB6" w:rsidP="00F63D7A">
      <w:r w:rsidRPr="00355CB6">
        <w:t>If your</w:t>
      </w:r>
      <w:r w:rsidR="0072676D" w:rsidRPr="00355CB6">
        <w:t xml:space="preserve"> field of expertise is education, there is no need to link the core competencies for this field, only for the other field you are registered in. </w:t>
      </w:r>
      <w:r w:rsidR="00715787" w:rsidRPr="00355CB6">
        <w:t xml:space="preserve">There is </w:t>
      </w:r>
      <w:r w:rsidR="008B10B2" w:rsidRPr="00355CB6">
        <w:t>no</w:t>
      </w:r>
      <w:r w:rsidR="00715787" w:rsidRPr="00355CB6">
        <w:t xml:space="preserve"> separate core competency for the area of expertise </w:t>
      </w:r>
      <w:r w:rsidR="008B10B2" w:rsidRPr="00355CB6">
        <w:t xml:space="preserve">of </w:t>
      </w:r>
      <w:r w:rsidR="00715787" w:rsidRPr="00355CB6">
        <w:t>education as the majority of Registered Nutritionists with education</w:t>
      </w:r>
      <w:r w:rsidR="00715787">
        <w:t xml:space="preserve"> as a field of expertise are also registered in a second field of expertise. These nutritionists would complete the core competencies related to this second field or would choose the field of expertise closest to their work which is likely to be public health, scientific re</w:t>
      </w:r>
      <w:r w:rsidR="00174D18">
        <w:t>search (academic), or practice.</w:t>
      </w:r>
      <w:r w:rsidR="00F63D7A" w:rsidRPr="00F63D7A">
        <w:t xml:space="preserve"> </w:t>
      </w:r>
      <w:r w:rsidR="00F63D7A">
        <w:t xml:space="preserve">Core competency related to teaching practice outside the scope of registration of the Nutrition Society. </w:t>
      </w:r>
    </w:p>
    <w:p w14:paraId="14EA2317" w14:textId="77777777" w:rsidR="0049089D" w:rsidRDefault="0049089D" w:rsidP="0049089D">
      <w:pPr>
        <w:rPr>
          <w:b/>
        </w:rPr>
      </w:pPr>
    </w:p>
    <w:p w14:paraId="36F09E04" w14:textId="44DBAA26" w:rsidR="0049089D" w:rsidRPr="00B446D0" w:rsidRDefault="0049089D" w:rsidP="0049089D">
      <w:pPr>
        <w:rPr>
          <w:b/>
        </w:rPr>
      </w:pPr>
      <w:r>
        <w:rPr>
          <w:b/>
        </w:rPr>
        <w:t>Food-service</w:t>
      </w:r>
    </w:p>
    <w:p w14:paraId="3AD7CBFB" w14:textId="2D3C9E98" w:rsidR="0080225A" w:rsidRPr="00401A72" w:rsidRDefault="0049089D">
      <w:pPr>
        <w:rPr>
          <w:color w:val="000000" w:themeColor="text1"/>
        </w:rPr>
      </w:pPr>
      <w:r>
        <w:rPr>
          <w:color w:val="000000" w:themeColor="text1"/>
        </w:rPr>
        <w:t>As there are only a few</w:t>
      </w:r>
      <w:r w:rsidRPr="00716E01">
        <w:rPr>
          <w:color w:val="000000" w:themeColor="text1"/>
        </w:rPr>
        <w:t xml:space="preserve"> people registered under food-service</w:t>
      </w:r>
      <w:r>
        <w:rPr>
          <w:color w:val="000000" w:themeColor="text1"/>
        </w:rPr>
        <w:t xml:space="preserve">, there </w:t>
      </w:r>
      <w:r w:rsidR="00AB095E">
        <w:rPr>
          <w:color w:val="000000" w:themeColor="text1"/>
        </w:rPr>
        <w:t>is not a separate detailed list of core competency examples</w:t>
      </w:r>
      <w:r>
        <w:rPr>
          <w:color w:val="000000" w:themeColor="text1"/>
        </w:rPr>
        <w:t>. Please</w:t>
      </w:r>
      <w:r w:rsidRPr="00716E01">
        <w:rPr>
          <w:color w:val="000000" w:themeColor="text1"/>
        </w:rPr>
        <w:t xml:space="preserve"> use </w:t>
      </w:r>
      <w:r w:rsidR="00AB095E">
        <w:rPr>
          <w:color w:val="000000" w:themeColor="text1"/>
        </w:rPr>
        <w:t xml:space="preserve">practice or </w:t>
      </w:r>
      <w:r w:rsidRPr="00716E01">
        <w:rPr>
          <w:color w:val="000000" w:themeColor="text1"/>
        </w:rPr>
        <w:t xml:space="preserve">food industry </w:t>
      </w:r>
      <w:r w:rsidR="00AB095E">
        <w:rPr>
          <w:color w:val="000000" w:themeColor="text1"/>
        </w:rPr>
        <w:t xml:space="preserve">examples </w:t>
      </w:r>
      <w:r w:rsidRPr="00716E01">
        <w:rPr>
          <w:color w:val="000000" w:themeColor="text1"/>
        </w:rPr>
        <w:t xml:space="preserve">depending on whether </w:t>
      </w:r>
      <w:r>
        <w:rPr>
          <w:color w:val="000000" w:themeColor="text1"/>
        </w:rPr>
        <w:t>you</w:t>
      </w:r>
      <w:r w:rsidRPr="00716E01">
        <w:rPr>
          <w:color w:val="000000" w:themeColor="text1"/>
        </w:rPr>
        <w:t xml:space="preserve"> are working in a clinical situation (hospital) or production of meals (e</w:t>
      </w:r>
      <w:r w:rsidR="002A6A97">
        <w:rPr>
          <w:color w:val="000000" w:themeColor="text1"/>
        </w:rPr>
        <w:t>.</w:t>
      </w:r>
      <w:r w:rsidRPr="00716E01">
        <w:rPr>
          <w:color w:val="000000" w:themeColor="text1"/>
        </w:rPr>
        <w:t>g</w:t>
      </w:r>
      <w:r w:rsidR="002A6A97">
        <w:rPr>
          <w:color w:val="000000" w:themeColor="text1"/>
        </w:rPr>
        <w:t>.</w:t>
      </w:r>
      <w:r w:rsidRPr="00716E01">
        <w:rPr>
          <w:color w:val="000000" w:themeColor="text1"/>
        </w:rPr>
        <w:t xml:space="preserve"> catering business).</w:t>
      </w:r>
    </w:p>
    <w:p w14:paraId="3105634C" w14:textId="5FA85AF9" w:rsidR="00CC0B2B" w:rsidRDefault="00F438C4">
      <w:pPr>
        <w:pStyle w:val="Heading1"/>
      </w:pPr>
      <w:r>
        <w:lastRenderedPageBreak/>
        <w:t xml:space="preserve">Documenting </w:t>
      </w:r>
      <w:r w:rsidR="00380167">
        <w:t>C</w:t>
      </w:r>
      <w:r>
        <w:t xml:space="preserve">ontinuing </w:t>
      </w:r>
      <w:r w:rsidR="00380167">
        <w:t>C</w:t>
      </w:r>
      <w:r>
        <w:t>ompetency</w:t>
      </w:r>
    </w:p>
    <w:p w14:paraId="36BF25EA" w14:textId="77777777" w:rsidR="00CC0B2B" w:rsidRPr="00B446D0" w:rsidRDefault="00CC0B2B">
      <w:pPr>
        <w:rPr>
          <w:sz w:val="16"/>
          <w:szCs w:val="16"/>
        </w:rPr>
      </w:pPr>
    </w:p>
    <w:p w14:paraId="5E1E4A89" w14:textId="58B6F565" w:rsidR="00CC0B2B" w:rsidRDefault="006F572C">
      <w:r w:rsidRPr="00E10E02">
        <w:t>Registered Nutritionists are required to re-register every 3 years and provide evidence of continuing competency</w:t>
      </w:r>
      <w:r w:rsidR="00C145CA">
        <w:t xml:space="preserve"> in their f</w:t>
      </w:r>
      <w:r w:rsidR="009307D0">
        <w:t xml:space="preserve">ield of </w:t>
      </w:r>
      <w:r w:rsidR="00C145CA">
        <w:t>e</w:t>
      </w:r>
      <w:r w:rsidR="009307D0">
        <w:t>xpertise</w:t>
      </w:r>
      <w:r w:rsidRPr="00E10E02">
        <w:t xml:space="preserve">. </w:t>
      </w:r>
      <w:r w:rsidRPr="00867717">
        <w:t xml:space="preserve">Each Registered Nutritionist is responsible for determining their continuing competency requirements. </w:t>
      </w:r>
      <w:r w:rsidRPr="00E10E02">
        <w:t xml:space="preserve">There are no set criteria. </w:t>
      </w:r>
      <w:r w:rsidR="00F438C4">
        <w:t xml:space="preserve">Nutrition is an extremely varied profession and Registered Nutritionists are from a wide range of backgrounds, therefore undertake a wide range of activities to show how their level of professional knowledge, skills and experience meets each of the required core competencies. </w:t>
      </w:r>
      <w:r w:rsidRPr="00E10E02">
        <w:t xml:space="preserve">Each application will be considered on its own merits by the Registration Panel. </w:t>
      </w:r>
      <w:r w:rsidR="00F438C4">
        <w:t>The actual evidence of undertaking an activity (e</w:t>
      </w:r>
      <w:r w:rsidR="00A52190">
        <w:t>.</w:t>
      </w:r>
      <w:r w:rsidR="00F438C4">
        <w:t>g</w:t>
      </w:r>
      <w:r w:rsidR="00A52190">
        <w:t>.</w:t>
      </w:r>
      <w:r w:rsidR="00F438C4">
        <w:t xml:space="preserve"> final report, certificate of attendance) does not have to be provided, but the Registration Panel may request this information if re-registration is under doubt.</w:t>
      </w:r>
    </w:p>
    <w:p w14:paraId="4B1E6361" w14:textId="77777777" w:rsidR="00CC0B2B" w:rsidRDefault="00CC0B2B"/>
    <w:p w14:paraId="1AC81459" w14:textId="5FCFDE59" w:rsidR="00DB29BB" w:rsidRPr="00401A72" w:rsidRDefault="00DB29BB" w:rsidP="00DB29BB">
      <w:pPr>
        <w:pStyle w:val="Heading2"/>
        <w:rPr>
          <w:rFonts w:ascii="Calibri" w:hAnsi="Calibri" w:cs="Calibri"/>
        </w:rPr>
      </w:pPr>
      <w:r w:rsidRPr="00401A72">
        <w:rPr>
          <w:rFonts w:ascii="Calibri" w:hAnsi="Calibri" w:cs="Calibri"/>
        </w:rPr>
        <w:t xml:space="preserve">Part 1: </w:t>
      </w:r>
      <w:r w:rsidR="00D84CDA" w:rsidRPr="00401A72">
        <w:rPr>
          <w:rFonts w:ascii="Calibri" w:hAnsi="Calibri" w:cs="Calibri"/>
        </w:rPr>
        <w:t>R</w:t>
      </w:r>
      <w:r w:rsidRPr="00401A72">
        <w:rPr>
          <w:rFonts w:ascii="Calibri" w:hAnsi="Calibri" w:cs="Calibri"/>
        </w:rPr>
        <w:t>ecording activitie</w:t>
      </w:r>
      <w:r w:rsidR="003C6FE5" w:rsidRPr="00401A72">
        <w:rPr>
          <w:rFonts w:ascii="Calibri" w:hAnsi="Calibri" w:cs="Calibri"/>
        </w:rPr>
        <w:t>s on the Continuing Competency R</w:t>
      </w:r>
      <w:r w:rsidRPr="00401A72">
        <w:rPr>
          <w:rFonts w:ascii="Calibri" w:hAnsi="Calibri" w:cs="Calibri"/>
        </w:rPr>
        <w:t>ecord sheet</w:t>
      </w:r>
    </w:p>
    <w:p w14:paraId="23AF2784" w14:textId="77777777" w:rsidR="00DB29BB" w:rsidRDefault="00DB29BB"/>
    <w:p w14:paraId="67D75282" w14:textId="1C3A915C" w:rsidR="00CC0B2B" w:rsidRDefault="00F438C4">
      <w:pPr>
        <w:widowControl w:val="0"/>
        <w:spacing w:after="240"/>
      </w:pPr>
      <w:r>
        <w:t xml:space="preserve">Registered Nutritionists provide a record of activities demonstrating </w:t>
      </w:r>
      <w:r w:rsidR="000C0C2A">
        <w:t>areas</w:t>
      </w:r>
      <w:r>
        <w:t xml:space="preserve"> of knowledge, understanding and practical skills</w:t>
      </w:r>
      <w:r w:rsidR="00985D7E">
        <w:t xml:space="preserve"> for continued </w:t>
      </w:r>
      <w:r w:rsidR="002B0F90">
        <w:t>competency</w:t>
      </w:r>
      <w:r>
        <w:t xml:space="preserve">. These </w:t>
      </w:r>
      <w:r w:rsidR="00B1166D">
        <w:t xml:space="preserve">activities </w:t>
      </w:r>
      <w:r>
        <w:t>are grouped by type:</w:t>
      </w:r>
    </w:p>
    <w:p w14:paraId="4A853000" w14:textId="77777777" w:rsidR="00CC0B2B" w:rsidRPr="000619E1" w:rsidRDefault="00F438C4" w:rsidP="000619E1">
      <w:pPr>
        <w:numPr>
          <w:ilvl w:val="0"/>
          <w:numId w:val="2"/>
        </w:numPr>
        <w:pBdr>
          <w:top w:val="nil"/>
          <w:left w:val="nil"/>
          <w:bottom w:val="nil"/>
          <w:right w:val="nil"/>
          <w:between w:val="nil"/>
        </w:pBdr>
        <w:rPr>
          <w:rFonts w:asciiTheme="majorHAnsi" w:hAnsiTheme="majorHAnsi" w:cstheme="majorHAnsi"/>
          <w:color w:val="000000"/>
        </w:rPr>
      </w:pPr>
      <w:r w:rsidRPr="000619E1">
        <w:rPr>
          <w:rFonts w:asciiTheme="majorHAnsi" w:eastAsia="Arial" w:hAnsiTheme="majorHAnsi" w:cstheme="majorHAnsi"/>
          <w:color w:val="000000"/>
        </w:rPr>
        <w:t>Improving knowledge</w:t>
      </w:r>
    </w:p>
    <w:p w14:paraId="728F439E" w14:textId="77777777" w:rsidR="00CC0B2B" w:rsidRPr="000619E1" w:rsidRDefault="00F438C4" w:rsidP="000619E1">
      <w:pPr>
        <w:numPr>
          <w:ilvl w:val="0"/>
          <w:numId w:val="2"/>
        </w:numPr>
        <w:pBdr>
          <w:top w:val="nil"/>
          <w:left w:val="nil"/>
          <w:bottom w:val="nil"/>
          <w:right w:val="nil"/>
          <w:between w:val="nil"/>
        </w:pBdr>
        <w:rPr>
          <w:rFonts w:asciiTheme="majorHAnsi" w:hAnsiTheme="majorHAnsi" w:cstheme="majorHAnsi"/>
          <w:color w:val="000000"/>
        </w:rPr>
      </w:pPr>
      <w:r w:rsidRPr="000619E1">
        <w:rPr>
          <w:rFonts w:asciiTheme="majorHAnsi" w:eastAsia="Arial" w:hAnsiTheme="majorHAnsi" w:cstheme="majorHAnsi"/>
          <w:color w:val="000000"/>
        </w:rPr>
        <w:t>Teaching, presentations, publications</w:t>
      </w:r>
    </w:p>
    <w:p w14:paraId="7D21F982" w14:textId="77777777" w:rsidR="00CC0B2B" w:rsidRPr="000619E1" w:rsidRDefault="00F438C4" w:rsidP="000619E1">
      <w:pPr>
        <w:numPr>
          <w:ilvl w:val="0"/>
          <w:numId w:val="2"/>
        </w:numPr>
        <w:pBdr>
          <w:top w:val="nil"/>
          <w:left w:val="nil"/>
          <w:bottom w:val="nil"/>
          <w:right w:val="nil"/>
          <w:between w:val="nil"/>
        </w:pBdr>
        <w:rPr>
          <w:rFonts w:asciiTheme="majorHAnsi" w:hAnsiTheme="majorHAnsi" w:cstheme="majorHAnsi"/>
          <w:color w:val="000000"/>
        </w:rPr>
      </w:pPr>
      <w:r w:rsidRPr="000619E1">
        <w:rPr>
          <w:rFonts w:asciiTheme="majorHAnsi" w:eastAsia="Arial" w:hAnsiTheme="majorHAnsi" w:cstheme="majorHAnsi"/>
          <w:color w:val="000000"/>
        </w:rPr>
        <w:t>Work-related/report writing/community service</w:t>
      </w:r>
    </w:p>
    <w:p w14:paraId="1B6DECD6" w14:textId="77777777" w:rsidR="00CC0B2B" w:rsidRPr="000619E1" w:rsidRDefault="00F438C4" w:rsidP="000619E1">
      <w:pPr>
        <w:numPr>
          <w:ilvl w:val="0"/>
          <w:numId w:val="2"/>
        </w:numPr>
        <w:pBdr>
          <w:top w:val="nil"/>
          <w:left w:val="nil"/>
          <w:bottom w:val="nil"/>
          <w:right w:val="nil"/>
          <w:between w:val="nil"/>
        </w:pBdr>
        <w:rPr>
          <w:rFonts w:asciiTheme="majorHAnsi" w:hAnsiTheme="majorHAnsi" w:cstheme="majorHAnsi"/>
          <w:color w:val="000000"/>
        </w:rPr>
      </w:pPr>
      <w:r w:rsidRPr="000619E1">
        <w:rPr>
          <w:rFonts w:asciiTheme="majorHAnsi" w:eastAsia="Arial" w:hAnsiTheme="majorHAnsi" w:cstheme="majorHAnsi"/>
          <w:color w:val="000000"/>
        </w:rPr>
        <w:t>Contact with Nutritionists</w:t>
      </w:r>
    </w:p>
    <w:p w14:paraId="244D84D6" w14:textId="77777777" w:rsidR="006B2347" w:rsidRDefault="006B2347"/>
    <w:p w14:paraId="5DF1793C" w14:textId="25B5C214" w:rsidR="00CC0B2B" w:rsidRPr="000619E1" w:rsidRDefault="009F50A2" w:rsidP="009307D0">
      <w:pPr>
        <w:rPr>
          <w:rFonts w:asciiTheme="majorHAnsi" w:eastAsia="Arial" w:hAnsiTheme="majorHAnsi" w:cstheme="majorHAnsi"/>
        </w:rPr>
      </w:pPr>
      <w:r>
        <w:rPr>
          <w:rFonts w:asciiTheme="majorHAnsi" w:eastAsia="Arial" w:hAnsiTheme="majorHAnsi" w:cstheme="majorHAnsi"/>
        </w:rPr>
        <w:t xml:space="preserve">The </w:t>
      </w:r>
      <w:r w:rsidR="00F63D7A">
        <w:rPr>
          <w:rFonts w:asciiTheme="majorHAnsi" w:eastAsia="Arial" w:hAnsiTheme="majorHAnsi" w:cstheme="majorHAnsi"/>
        </w:rPr>
        <w:t>separate ‘</w:t>
      </w:r>
      <w:r>
        <w:rPr>
          <w:rFonts w:asciiTheme="majorHAnsi" w:eastAsia="Arial" w:hAnsiTheme="majorHAnsi" w:cstheme="majorHAnsi"/>
        </w:rPr>
        <w:t xml:space="preserve">Continuing Competency Record </w:t>
      </w:r>
      <w:r w:rsidR="00F63D7A">
        <w:rPr>
          <w:rFonts w:asciiTheme="majorHAnsi" w:eastAsia="Arial" w:hAnsiTheme="majorHAnsi" w:cstheme="majorHAnsi"/>
        </w:rPr>
        <w:t>S</w:t>
      </w:r>
      <w:r>
        <w:rPr>
          <w:rFonts w:asciiTheme="majorHAnsi" w:eastAsia="Arial" w:hAnsiTheme="majorHAnsi" w:cstheme="majorHAnsi"/>
        </w:rPr>
        <w:t>heet</w:t>
      </w:r>
      <w:r w:rsidR="00F63D7A">
        <w:rPr>
          <w:rFonts w:asciiTheme="majorHAnsi" w:eastAsia="Arial" w:hAnsiTheme="majorHAnsi" w:cstheme="majorHAnsi"/>
        </w:rPr>
        <w:t>’</w:t>
      </w:r>
      <w:r>
        <w:rPr>
          <w:rFonts w:asciiTheme="majorHAnsi" w:eastAsia="Arial" w:hAnsiTheme="majorHAnsi" w:cstheme="majorHAnsi"/>
        </w:rPr>
        <w:t xml:space="preserve"> </w:t>
      </w:r>
      <w:r w:rsidR="00F63D7A">
        <w:rPr>
          <w:rFonts w:asciiTheme="majorHAnsi" w:eastAsia="Arial" w:hAnsiTheme="majorHAnsi" w:cstheme="majorHAnsi"/>
        </w:rPr>
        <w:t>can</w:t>
      </w:r>
      <w:r>
        <w:rPr>
          <w:rFonts w:asciiTheme="majorHAnsi" w:eastAsia="Arial" w:hAnsiTheme="majorHAnsi" w:cstheme="majorHAnsi"/>
        </w:rPr>
        <w:t xml:space="preserve"> help with </w:t>
      </w:r>
      <w:r w:rsidR="00B43993">
        <w:rPr>
          <w:rFonts w:asciiTheme="majorHAnsi" w:eastAsia="Arial" w:hAnsiTheme="majorHAnsi" w:cstheme="majorHAnsi"/>
        </w:rPr>
        <w:t>the recording of</w:t>
      </w:r>
      <w:r>
        <w:rPr>
          <w:rFonts w:asciiTheme="majorHAnsi" w:eastAsia="Arial" w:hAnsiTheme="majorHAnsi" w:cstheme="majorHAnsi"/>
        </w:rPr>
        <w:t xml:space="preserve"> activities</w:t>
      </w:r>
      <w:r w:rsidR="009307D0">
        <w:rPr>
          <w:rFonts w:asciiTheme="majorHAnsi" w:eastAsia="Arial" w:hAnsiTheme="majorHAnsi" w:cstheme="majorHAnsi"/>
        </w:rPr>
        <w:t>. T</w:t>
      </w:r>
      <w:r w:rsidR="00F438C4" w:rsidRPr="000619E1">
        <w:rPr>
          <w:rFonts w:asciiTheme="majorHAnsi" w:eastAsia="Arial" w:hAnsiTheme="majorHAnsi" w:cstheme="majorHAnsi"/>
        </w:rPr>
        <w:t xml:space="preserve">he approximate time and duration of </w:t>
      </w:r>
      <w:r w:rsidR="00B01C37">
        <w:rPr>
          <w:rFonts w:asciiTheme="majorHAnsi" w:eastAsia="Arial" w:hAnsiTheme="majorHAnsi" w:cstheme="majorHAnsi"/>
        </w:rPr>
        <w:t>each</w:t>
      </w:r>
      <w:r w:rsidR="00F438C4" w:rsidRPr="000619E1">
        <w:rPr>
          <w:rFonts w:asciiTheme="majorHAnsi" w:eastAsia="Arial" w:hAnsiTheme="majorHAnsi" w:cstheme="majorHAnsi"/>
        </w:rPr>
        <w:t xml:space="preserve"> activity</w:t>
      </w:r>
      <w:r w:rsidR="009307D0">
        <w:rPr>
          <w:rFonts w:asciiTheme="majorHAnsi" w:eastAsia="Arial" w:hAnsiTheme="majorHAnsi" w:cstheme="majorHAnsi"/>
        </w:rPr>
        <w:t xml:space="preserve"> are recorded </w:t>
      </w:r>
      <w:r w:rsidR="00F438C4" w:rsidRPr="000619E1">
        <w:rPr>
          <w:rFonts w:asciiTheme="majorHAnsi" w:eastAsia="Arial" w:hAnsiTheme="majorHAnsi" w:cstheme="majorHAnsi"/>
        </w:rPr>
        <w:t xml:space="preserve">to assist the </w:t>
      </w:r>
      <w:r w:rsidR="009307D0">
        <w:t xml:space="preserve">Registration Panel </w:t>
      </w:r>
      <w:r w:rsidR="00F438C4" w:rsidRPr="000619E1">
        <w:rPr>
          <w:rFonts w:asciiTheme="majorHAnsi" w:eastAsia="Arial" w:hAnsiTheme="majorHAnsi" w:cstheme="majorHAnsi"/>
        </w:rPr>
        <w:t xml:space="preserve">in determining the overall amount of continuing competency undertaken. </w:t>
      </w:r>
      <w:r w:rsidR="009307D0">
        <w:rPr>
          <w:rFonts w:asciiTheme="majorHAnsi" w:eastAsia="Arial" w:hAnsiTheme="majorHAnsi" w:cstheme="majorHAnsi"/>
        </w:rPr>
        <w:t>If</w:t>
      </w:r>
      <w:r w:rsidR="00F438C4" w:rsidRPr="000619E1">
        <w:rPr>
          <w:rFonts w:asciiTheme="majorHAnsi" w:eastAsia="Arial" w:hAnsiTheme="majorHAnsi" w:cstheme="majorHAnsi"/>
        </w:rPr>
        <w:t xml:space="preserve"> the work is collaborative</w:t>
      </w:r>
      <w:r w:rsidR="00C647FF">
        <w:rPr>
          <w:rFonts w:asciiTheme="majorHAnsi" w:eastAsia="Arial" w:hAnsiTheme="majorHAnsi" w:cstheme="majorHAnsi"/>
        </w:rPr>
        <w:t xml:space="preserve">, a note may explain everyone’s </w:t>
      </w:r>
      <w:r w:rsidR="00F438C4" w:rsidRPr="000619E1">
        <w:rPr>
          <w:rFonts w:asciiTheme="majorHAnsi" w:eastAsia="Arial" w:hAnsiTheme="majorHAnsi" w:cstheme="majorHAnsi"/>
        </w:rPr>
        <w:t>contribution.</w:t>
      </w:r>
      <w:r w:rsidR="00E96D48">
        <w:rPr>
          <w:rFonts w:asciiTheme="majorHAnsi" w:eastAsia="Arial" w:hAnsiTheme="majorHAnsi" w:cstheme="majorHAnsi"/>
        </w:rPr>
        <w:t xml:space="preserve"> Indicate where work has been peer-reviewed.</w:t>
      </w:r>
    </w:p>
    <w:p w14:paraId="01A0473C" w14:textId="77777777" w:rsidR="00CC0B2B" w:rsidRDefault="00CC0B2B" w:rsidP="00A52190">
      <w:pPr>
        <w:pStyle w:val="Heading2"/>
      </w:pPr>
    </w:p>
    <w:p w14:paraId="140FBABA" w14:textId="54DF39B1" w:rsidR="00003AC1" w:rsidRDefault="00F63D7A" w:rsidP="00003AC1">
      <w:pPr>
        <w:rPr>
          <w:rFonts w:asciiTheme="majorHAnsi" w:eastAsia="Arial" w:hAnsiTheme="majorHAnsi" w:cstheme="majorHAnsi"/>
        </w:rPr>
      </w:pPr>
      <w:r>
        <w:rPr>
          <w:rFonts w:asciiTheme="majorHAnsi" w:eastAsia="Arial" w:hAnsiTheme="majorHAnsi" w:cstheme="majorHAnsi"/>
        </w:rPr>
        <w:t>Separate documents outline a</w:t>
      </w:r>
      <w:r w:rsidR="00003AC1" w:rsidRPr="000619E1">
        <w:rPr>
          <w:rFonts w:asciiTheme="majorHAnsi" w:eastAsia="Arial" w:hAnsiTheme="majorHAnsi" w:cstheme="majorHAnsi"/>
        </w:rPr>
        <w:t xml:space="preserve"> list of possible activities </w:t>
      </w:r>
      <w:r>
        <w:rPr>
          <w:rFonts w:asciiTheme="majorHAnsi" w:eastAsia="Arial" w:hAnsiTheme="majorHAnsi" w:cstheme="majorHAnsi"/>
        </w:rPr>
        <w:t>for each field of expertise</w:t>
      </w:r>
      <w:r w:rsidR="00003AC1">
        <w:rPr>
          <w:rFonts w:asciiTheme="majorHAnsi" w:eastAsia="Arial" w:hAnsiTheme="majorHAnsi" w:cstheme="majorHAnsi"/>
        </w:rPr>
        <w:t xml:space="preserve"> </w:t>
      </w:r>
      <w:r>
        <w:rPr>
          <w:rFonts w:asciiTheme="majorHAnsi" w:eastAsia="Arial" w:hAnsiTheme="majorHAnsi" w:cstheme="majorHAnsi"/>
        </w:rPr>
        <w:t xml:space="preserve">(Detailed Core Competencies for each field of expertise) </w:t>
      </w:r>
      <w:r w:rsidR="00003AC1">
        <w:rPr>
          <w:rFonts w:asciiTheme="majorHAnsi" w:eastAsia="Arial" w:hAnsiTheme="majorHAnsi" w:cstheme="majorHAnsi"/>
        </w:rPr>
        <w:t xml:space="preserve">and </w:t>
      </w:r>
      <w:r>
        <w:rPr>
          <w:rFonts w:asciiTheme="majorHAnsi" w:eastAsia="Arial" w:hAnsiTheme="majorHAnsi" w:cstheme="majorHAnsi"/>
        </w:rPr>
        <w:t>provide examples (</w:t>
      </w:r>
      <w:r w:rsidR="00003AC1">
        <w:rPr>
          <w:rFonts w:asciiTheme="majorHAnsi" w:eastAsia="Arial" w:hAnsiTheme="majorHAnsi" w:cstheme="majorHAnsi"/>
        </w:rPr>
        <w:t xml:space="preserve">Continuing Competency Record </w:t>
      </w:r>
      <w:r>
        <w:rPr>
          <w:rFonts w:asciiTheme="majorHAnsi" w:eastAsia="Arial" w:hAnsiTheme="majorHAnsi" w:cstheme="majorHAnsi"/>
        </w:rPr>
        <w:t>E</w:t>
      </w:r>
      <w:r w:rsidR="00003AC1">
        <w:rPr>
          <w:rFonts w:asciiTheme="majorHAnsi" w:eastAsia="Arial" w:hAnsiTheme="majorHAnsi" w:cstheme="majorHAnsi"/>
        </w:rPr>
        <w:t xml:space="preserve">xample </w:t>
      </w:r>
      <w:r>
        <w:rPr>
          <w:rFonts w:asciiTheme="majorHAnsi" w:eastAsia="Arial" w:hAnsiTheme="majorHAnsi" w:cstheme="majorHAnsi"/>
        </w:rPr>
        <w:t>Record S</w:t>
      </w:r>
      <w:r w:rsidR="00003AC1">
        <w:rPr>
          <w:rFonts w:asciiTheme="majorHAnsi" w:eastAsia="Arial" w:hAnsiTheme="majorHAnsi" w:cstheme="majorHAnsi"/>
        </w:rPr>
        <w:t>heet</w:t>
      </w:r>
      <w:r>
        <w:rPr>
          <w:rFonts w:asciiTheme="majorHAnsi" w:eastAsia="Arial" w:hAnsiTheme="majorHAnsi" w:cstheme="majorHAnsi"/>
        </w:rPr>
        <w:t>)</w:t>
      </w:r>
      <w:r w:rsidR="00003AC1">
        <w:rPr>
          <w:rFonts w:asciiTheme="majorHAnsi" w:eastAsia="Arial" w:hAnsiTheme="majorHAnsi" w:cstheme="majorHAnsi"/>
        </w:rPr>
        <w:t xml:space="preserve"> are</w:t>
      </w:r>
      <w:r w:rsidR="00003AC1" w:rsidRPr="000619E1">
        <w:rPr>
          <w:rFonts w:asciiTheme="majorHAnsi" w:eastAsia="Arial" w:hAnsiTheme="majorHAnsi" w:cstheme="majorHAnsi"/>
        </w:rPr>
        <w:t xml:space="preserve"> provided</w:t>
      </w:r>
      <w:r w:rsidR="00003AC1">
        <w:rPr>
          <w:rFonts w:asciiTheme="majorHAnsi" w:eastAsia="Arial" w:hAnsiTheme="majorHAnsi" w:cstheme="majorHAnsi"/>
        </w:rPr>
        <w:t xml:space="preserve"> </w:t>
      </w:r>
      <w:r w:rsidR="00003AC1" w:rsidRPr="000619E1">
        <w:rPr>
          <w:rFonts w:asciiTheme="majorHAnsi" w:eastAsia="Arial" w:hAnsiTheme="majorHAnsi" w:cstheme="majorHAnsi"/>
        </w:rPr>
        <w:t>but activities are no</w:t>
      </w:r>
      <w:r w:rsidR="00FB130B">
        <w:rPr>
          <w:rFonts w:asciiTheme="majorHAnsi" w:eastAsia="Arial" w:hAnsiTheme="majorHAnsi" w:cstheme="majorHAnsi"/>
        </w:rPr>
        <w:t>t limited to these suggestions.</w:t>
      </w:r>
    </w:p>
    <w:p w14:paraId="2DB78C68" w14:textId="77777777" w:rsidR="00E24E3F" w:rsidRDefault="00E24E3F" w:rsidP="00003AC1">
      <w:pPr>
        <w:rPr>
          <w:rFonts w:asciiTheme="majorHAnsi" w:eastAsia="Arial" w:hAnsiTheme="majorHAnsi" w:cstheme="majorHAnsi"/>
        </w:rPr>
      </w:pPr>
    </w:p>
    <w:p w14:paraId="0A840142" w14:textId="20E80BF6" w:rsidR="00A3285F" w:rsidRDefault="00A3285F" w:rsidP="00A3285F">
      <w:r>
        <w:t xml:space="preserve">When </w:t>
      </w:r>
      <w:r w:rsidR="003629C0">
        <w:t xml:space="preserve">a </w:t>
      </w:r>
      <w:r>
        <w:t>nutritionist appl</w:t>
      </w:r>
      <w:r w:rsidR="003629C0">
        <w:t>ies</w:t>
      </w:r>
      <w:r>
        <w:t xml:space="preserve"> for registration for the first time, they will complete a specific form</w:t>
      </w:r>
      <w:r w:rsidR="005F2867">
        <w:t xml:space="preserve"> ‘</w:t>
      </w:r>
      <w:r w:rsidR="005F2867">
        <w:t>Application for Registration - Registered Nutritionist</w:t>
      </w:r>
      <w:r w:rsidR="005F2867">
        <w:t xml:space="preserve">’ </w:t>
      </w:r>
      <w:r w:rsidRPr="00613CD7">
        <w:t xml:space="preserve">to show how they meet the core competencies </w:t>
      </w:r>
      <w:r>
        <w:t>through knowledge and recent work experience. New applicants are not expected to have recorded three years of continuing competency activities.</w:t>
      </w:r>
    </w:p>
    <w:p w14:paraId="1EE0BE8C" w14:textId="5AE6E560" w:rsidR="00053CD2" w:rsidRDefault="00053CD2">
      <w:r>
        <w:br w:type="page"/>
      </w:r>
    </w:p>
    <w:p w14:paraId="3C8D319B" w14:textId="5FE646E8" w:rsidR="00CC0B2B" w:rsidRPr="00401A72" w:rsidRDefault="00F438C4" w:rsidP="00A52190">
      <w:pPr>
        <w:pStyle w:val="Heading2"/>
        <w:rPr>
          <w:rFonts w:ascii="Calibri" w:hAnsi="Calibri" w:cs="Calibri"/>
        </w:rPr>
      </w:pPr>
      <w:r w:rsidRPr="00401A72">
        <w:rPr>
          <w:rFonts w:ascii="Calibri" w:hAnsi="Calibri" w:cs="Calibri"/>
        </w:rPr>
        <w:lastRenderedPageBreak/>
        <w:t xml:space="preserve">Part </w:t>
      </w:r>
      <w:r w:rsidR="00DB29BB" w:rsidRPr="00401A72">
        <w:rPr>
          <w:rFonts w:ascii="Calibri" w:hAnsi="Calibri" w:cs="Calibri"/>
        </w:rPr>
        <w:t>2</w:t>
      </w:r>
      <w:r w:rsidRPr="00401A72">
        <w:rPr>
          <w:rFonts w:ascii="Calibri" w:hAnsi="Calibri" w:cs="Calibri"/>
        </w:rPr>
        <w:t>: Linking activities to core competencies</w:t>
      </w:r>
    </w:p>
    <w:p w14:paraId="0FB4E067" w14:textId="77777777" w:rsidR="00CC0B2B" w:rsidRDefault="00CC0B2B">
      <w:pPr>
        <w:rPr>
          <w:rFonts w:ascii="Arial" w:eastAsia="Arial" w:hAnsi="Arial" w:cs="Arial"/>
        </w:rPr>
      </w:pPr>
    </w:p>
    <w:p w14:paraId="6E7ACE52" w14:textId="5DC4FACE" w:rsidR="001C5D62" w:rsidRDefault="0023386F" w:rsidP="004D14E7">
      <w:r w:rsidRPr="004D14E7">
        <w:t xml:space="preserve">It is likely that a Registered Nutritionist covers all core competency areas in their professional daily life but may not have thought about how </w:t>
      </w:r>
      <w:r w:rsidR="003E68E5">
        <w:t>the recorded</w:t>
      </w:r>
      <w:r w:rsidRPr="004D14E7">
        <w:t xml:space="preserve"> activities and skills link to maintaining competency</w:t>
      </w:r>
      <w:r w:rsidRPr="001C5D62">
        <w:t xml:space="preserve">. </w:t>
      </w:r>
      <w:r w:rsidR="001C5D62" w:rsidRPr="004D14E7">
        <w:t xml:space="preserve">The nature of the work or study a Registered Nutritionist undertakes may also mean that particular core competencies, directly related to the applicant’s work or study, are stronger than others. </w:t>
      </w:r>
      <w:r w:rsidR="00D508E5">
        <w:t>I</w:t>
      </w:r>
      <w:r w:rsidR="001C5D62" w:rsidRPr="004D14E7">
        <w:t>t is expected</w:t>
      </w:r>
      <w:r w:rsidR="00D508E5">
        <w:t>, however,</w:t>
      </w:r>
      <w:r w:rsidR="001C5D62" w:rsidRPr="004D14E7">
        <w:t xml:space="preserve"> that professional development does extend to all the core competencies in some way. For example, if the work of a nutrition health promoter is mainly focused on the core competency of ‘Social/</w:t>
      </w:r>
      <w:proofErr w:type="spellStart"/>
      <w:r w:rsidR="001C5D62" w:rsidRPr="004D14E7">
        <w:t>Behaviour</w:t>
      </w:r>
      <w:proofErr w:type="spellEnd"/>
      <w:r w:rsidR="001C5D62" w:rsidRPr="004D14E7">
        <w:t xml:space="preserve">’ then this competency is easily maintained, however to maintain knowledge in the core competency of ‘Food </w:t>
      </w:r>
      <w:r w:rsidR="00182D1C">
        <w:t>Systems</w:t>
      </w:r>
      <w:r w:rsidR="001C5D62" w:rsidRPr="004D14E7">
        <w:t>, additional reading, seminar or conference attendance may be required. Likewise, a nutrition researcher may have a specialist area</w:t>
      </w:r>
      <w:r w:rsidR="00D508E5" w:rsidRPr="00247E77">
        <w:t xml:space="preserve"> under the core competency of ‘S</w:t>
      </w:r>
      <w:r w:rsidR="001C5D62" w:rsidRPr="004D14E7">
        <w:t>cience’ but would be expected to maintain knowledge in other areas, even if not directly applied to their work. The applicant is not expecte</w:t>
      </w:r>
      <w:r w:rsidR="00DB1A32" w:rsidRPr="004D14E7">
        <w:t>d to be an expert in all areas.</w:t>
      </w:r>
    </w:p>
    <w:p w14:paraId="59EE8DC5" w14:textId="77777777" w:rsidR="00C8769A" w:rsidRDefault="00C8769A" w:rsidP="004D14E7"/>
    <w:p w14:paraId="1D7841BB" w14:textId="4D497A0A" w:rsidR="00267670" w:rsidRDefault="00195DCE" w:rsidP="004D14E7">
      <w:pPr>
        <w:spacing w:after="160" w:line="259" w:lineRule="auto"/>
        <w:rPr>
          <w:rStyle w:val="CommentReference"/>
          <w:color w:val="A6A6A6" w:themeColor="background1" w:themeShade="A6"/>
        </w:rPr>
      </w:pPr>
      <w:r w:rsidRPr="004854A1">
        <w:t>Applicants</w:t>
      </w:r>
      <w:r>
        <w:t xml:space="preserve"> provide at least one evidence example</w:t>
      </w:r>
      <w:r w:rsidR="00D53477">
        <w:t xml:space="preserve"> (activity)</w:t>
      </w:r>
      <w:r>
        <w:t xml:space="preserve"> </w:t>
      </w:r>
      <w:r w:rsidR="005B4F4B">
        <w:t>for each</w:t>
      </w:r>
      <w:r>
        <w:t xml:space="preserve"> of the core competencies </w:t>
      </w:r>
      <w:r w:rsidR="007745C5">
        <w:t xml:space="preserve">(CC) </w:t>
      </w:r>
      <w:r>
        <w:t xml:space="preserve">1-4 (1. Science, 2. Food </w:t>
      </w:r>
      <w:r w:rsidR="00182D1C">
        <w:t>Systems</w:t>
      </w:r>
      <w:r>
        <w:t>, 3. Social/</w:t>
      </w:r>
      <w:proofErr w:type="spellStart"/>
      <w:r>
        <w:t>Behaviour</w:t>
      </w:r>
      <w:proofErr w:type="spellEnd"/>
      <w:r>
        <w:t xml:space="preserve"> and 4. Health/Wellbeing). Evidence must also be provided to address </w:t>
      </w:r>
      <w:r w:rsidR="003629C0">
        <w:t>specific</w:t>
      </w:r>
      <w:r>
        <w:t xml:space="preserve"> points listed under core competency 5, Professional Conduct (see PC1-PC6 under heading ‘Core Competency 5: Professional Conduct (PC)’ in the document ‘Detailed Core Competencies for Each Field of Expertise’).</w:t>
      </w:r>
    </w:p>
    <w:p w14:paraId="291181C6" w14:textId="52093480" w:rsidR="00CC0B2B" w:rsidRPr="000619E1" w:rsidRDefault="00247E77">
      <w:pPr>
        <w:rPr>
          <w:rFonts w:asciiTheme="majorHAnsi" w:eastAsia="Arial" w:hAnsiTheme="majorHAnsi" w:cstheme="majorHAnsi"/>
        </w:rPr>
      </w:pPr>
      <w:r>
        <w:rPr>
          <w:rFonts w:asciiTheme="majorHAnsi" w:eastAsia="Arial" w:hAnsiTheme="majorHAnsi" w:cstheme="majorHAnsi"/>
        </w:rPr>
        <w:t>The applicant b</w:t>
      </w:r>
      <w:r w:rsidR="00F438C4" w:rsidRPr="000619E1">
        <w:rPr>
          <w:rFonts w:asciiTheme="majorHAnsi" w:eastAsia="Arial" w:hAnsiTheme="majorHAnsi" w:cstheme="majorHAnsi"/>
        </w:rPr>
        <w:t>riefly state</w:t>
      </w:r>
      <w:r>
        <w:rPr>
          <w:rFonts w:asciiTheme="majorHAnsi" w:eastAsia="Arial" w:hAnsiTheme="majorHAnsi" w:cstheme="majorHAnsi"/>
        </w:rPr>
        <w:t>s</w:t>
      </w:r>
      <w:r w:rsidR="00F438C4" w:rsidRPr="000619E1">
        <w:rPr>
          <w:rFonts w:asciiTheme="majorHAnsi" w:eastAsia="Arial" w:hAnsiTheme="majorHAnsi" w:cstheme="majorHAnsi"/>
        </w:rPr>
        <w:t xml:space="preserve"> how the activity listed in </w:t>
      </w:r>
      <w:r w:rsidR="007B2D71">
        <w:rPr>
          <w:rFonts w:asciiTheme="majorHAnsi" w:eastAsia="Arial" w:hAnsiTheme="majorHAnsi" w:cstheme="majorHAnsi"/>
        </w:rPr>
        <w:t>their</w:t>
      </w:r>
      <w:r w:rsidR="00F438C4" w:rsidRPr="000619E1">
        <w:rPr>
          <w:rFonts w:asciiTheme="majorHAnsi" w:eastAsia="Arial" w:hAnsiTheme="majorHAnsi" w:cstheme="majorHAnsi"/>
        </w:rPr>
        <w:t xml:space="preserve"> record is linked with the core competency. </w:t>
      </w:r>
      <w:r>
        <w:rPr>
          <w:rFonts w:asciiTheme="majorHAnsi" w:eastAsia="Arial" w:hAnsiTheme="majorHAnsi" w:cstheme="majorHAnsi"/>
        </w:rPr>
        <w:t xml:space="preserve">This should not be </w:t>
      </w:r>
      <w:r w:rsidR="00F438C4" w:rsidRPr="000619E1">
        <w:rPr>
          <w:rFonts w:asciiTheme="majorHAnsi" w:eastAsia="Arial" w:hAnsiTheme="majorHAnsi" w:cstheme="majorHAnsi"/>
        </w:rPr>
        <w:t>over</w:t>
      </w:r>
      <w:r w:rsidR="000619E1">
        <w:rPr>
          <w:rFonts w:asciiTheme="majorHAnsi" w:eastAsia="Arial" w:hAnsiTheme="majorHAnsi" w:cstheme="majorHAnsi"/>
        </w:rPr>
        <w:t>-</w:t>
      </w:r>
      <w:proofErr w:type="spellStart"/>
      <w:r w:rsidR="00F438C4" w:rsidRPr="000619E1">
        <w:rPr>
          <w:rFonts w:asciiTheme="majorHAnsi" w:eastAsia="Arial" w:hAnsiTheme="majorHAnsi" w:cstheme="majorHAnsi"/>
        </w:rPr>
        <w:t>analyse</w:t>
      </w:r>
      <w:r>
        <w:rPr>
          <w:rFonts w:asciiTheme="majorHAnsi" w:eastAsia="Arial" w:hAnsiTheme="majorHAnsi" w:cstheme="majorHAnsi"/>
        </w:rPr>
        <w:t>d</w:t>
      </w:r>
      <w:proofErr w:type="spellEnd"/>
      <w:r w:rsidR="00F438C4" w:rsidRPr="000619E1">
        <w:rPr>
          <w:rFonts w:asciiTheme="majorHAnsi" w:eastAsia="Arial" w:hAnsiTheme="majorHAnsi" w:cstheme="majorHAnsi"/>
        </w:rPr>
        <w:t>, a brief explanation only is required.</w:t>
      </w:r>
    </w:p>
    <w:p w14:paraId="1FAC3ECE" w14:textId="77777777" w:rsidR="00CC0B2B" w:rsidRPr="000619E1" w:rsidRDefault="00CC0B2B">
      <w:pPr>
        <w:rPr>
          <w:rFonts w:asciiTheme="majorHAnsi" w:eastAsia="Arial" w:hAnsiTheme="majorHAnsi" w:cstheme="majorHAnsi"/>
        </w:rPr>
      </w:pPr>
    </w:p>
    <w:p w14:paraId="3F0DFF08" w14:textId="77777777" w:rsidR="00CC0B2B" w:rsidRPr="00A52190" w:rsidRDefault="00F438C4">
      <w:pPr>
        <w:rPr>
          <w:rFonts w:asciiTheme="majorHAnsi" w:eastAsia="Arial" w:hAnsiTheme="majorHAnsi" w:cstheme="majorHAnsi"/>
          <w:i/>
        </w:rPr>
      </w:pPr>
      <w:r w:rsidRPr="00A52190">
        <w:rPr>
          <w:rFonts w:asciiTheme="majorHAnsi" w:eastAsia="Arial" w:hAnsiTheme="majorHAnsi" w:cstheme="majorHAnsi"/>
          <w:i/>
        </w:rPr>
        <w:t xml:space="preserve">For example: </w:t>
      </w:r>
    </w:p>
    <w:p w14:paraId="16FDB01F" w14:textId="594A42F7" w:rsidR="00CC0B2B" w:rsidRPr="00A52190" w:rsidRDefault="00F438C4" w:rsidP="00A52190">
      <w:pPr>
        <w:pStyle w:val="ListParagraph"/>
        <w:numPr>
          <w:ilvl w:val="0"/>
          <w:numId w:val="3"/>
        </w:numPr>
        <w:ind w:left="426" w:hanging="426"/>
        <w:rPr>
          <w:rFonts w:asciiTheme="majorHAnsi" w:eastAsia="Arial" w:hAnsiTheme="majorHAnsi" w:cstheme="majorHAnsi"/>
        </w:rPr>
      </w:pPr>
      <w:r w:rsidRPr="00A52190">
        <w:rPr>
          <w:rFonts w:asciiTheme="majorHAnsi" w:eastAsia="Arial" w:hAnsiTheme="majorHAnsi" w:cstheme="majorHAnsi"/>
        </w:rPr>
        <w:t xml:space="preserve">Conducting a tutorial on nutrient reference values required </w:t>
      </w:r>
      <w:proofErr w:type="spellStart"/>
      <w:r w:rsidRPr="00A52190">
        <w:rPr>
          <w:rFonts w:asciiTheme="majorHAnsi" w:eastAsia="Arial" w:hAnsiTheme="majorHAnsi" w:cstheme="majorHAnsi"/>
        </w:rPr>
        <w:t>familiarisation</w:t>
      </w:r>
      <w:proofErr w:type="spellEnd"/>
      <w:r w:rsidRPr="00A52190">
        <w:rPr>
          <w:rFonts w:asciiTheme="majorHAnsi" w:eastAsia="Arial" w:hAnsiTheme="majorHAnsi" w:cstheme="majorHAnsi"/>
        </w:rPr>
        <w:t xml:space="preserve"> with Nutrient Reference Values, ensuring I knew the most up-to-date values, and having to understand the application of each type of N</w:t>
      </w:r>
      <w:r w:rsidR="00A52190" w:rsidRPr="00A52190">
        <w:rPr>
          <w:rFonts w:asciiTheme="majorHAnsi" w:eastAsia="Arial" w:hAnsiTheme="majorHAnsi" w:cstheme="majorHAnsi"/>
        </w:rPr>
        <w:t xml:space="preserve">utrient </w:t>
      </w:r>
      <w:r w:rsidRPr="00A52190">
        <w:rPr>
          <w:rFonts w:asciiTheme="majorHAnsi" w:eastAsia="Arial" w:hAnsiTheme="majorHAnsi" w:cstheme="majorHAnsi"/>
        </w:rPr>
        <w:t>R</w:t>
      </w:r>
      <w:r w:rsidR="00A52190" w:rsidRPr="00A52190">
        <w:rPr>
          <w:rFonts w:asciiTheme="majorHAnsi" w:eastAsia="Arial" w:hAnsiTheme="majorHAnsi" w:cstheme="majorHAnsi"/>
        </w:rPr>
        <w:t xml:space="preserve">eference </w:t>
      </w:r>
      <w:r w:rsidRPr="00A52190">
        <w:rPr>
          <w:rFonts w:asciiTheme="majorHAnsi" w:eastAsia="Arial" w:hAnsiTheme="majorHAnsi" w:cstheme="majorHAnsi"/>
        </w:rPr>
        <w:t>V</w:t>
      </w:r>
      <w:r w:rsidR="00A52190" w:rsidRPr="00A52190">
        <w:rPr>
          <w:rFonts w:asciiTheme="majorHAnsi" w:eastAsia="Arial" w:hAnsiTheme="majorHAnsi" w:cstheme="majorHAnsi"/>
        </w:rPr>
        <w:t>alue</w:t>
      </w:r>
      <w:r w:rsidRPr="00A52190">
        <w:rPr>
          <w:rFonts w:asciiTheme="majorHAnsi" w:eastAsia="Arial" w:hAnsiTheme="majorHAnsi" w:cstheme="majorHAnsi"/>
        </w:rPr>
        <w:t>.</w:t>
      </w:r>
    </w:p>
    <w:p w14:paraId="1D5A636A" w14:textId="77777777" w:rsidR="00CC0B2B" w:rsidRPr="00A52190" w:rsidRDefault="00F438C4" w:rsidP="00A52190">
      <w:pPr>
        <w:pStyle w:val="ListParagraph"/>
        <w:numPr>
          <w:ilvl w:val="0"/>
          <w:numId w:val="3"/>
        </w:numPr>
        <w:ind w:left="426" w:hanging="426"/>
        <w:rPr>
          <w:rFonts w:asciiTheme="majorHAnsi" w:eastAsia="Arial" w:hAnsiTheme="majorHAnsi" w:cstheme="majorHAnsi"/>
        </w:rPr>
      </w:pPr>
      <w:r w:rsidRPr="00A52190">
        <w:rPr>
          <w:rFonts w:asciiTheme="majorHAnsi" w:eastAsia="Arial" w:hAnsiTheme="majorHAnsi" w:cstheme="majorHAnsi"/>
        </w:rPr>
        <w:t>Developing a meal pack to sell at a supermarket required a focus group with households to understand the influences on planning meals to ensure the meal pack was acceptable.</w:t>
      </w:r>
    </w:p>
    <w:p w14:paraId="59597358" w14:textId="77777777" w:rsidR="00CC0B2B" w:rsidRDefault="00CC0B2B">
      <w:pPr>
        <w:rPr>
          <w:rFonts w:ascii="Arial" w:eastAsia="Arial" w:hAnsi="Arial" w:cs="Arial"/>
        </w:rPr>
      </w:pPr>
    </w:p>
    <w:p w14:paraId="77758397" w14:textId="792F419C" w:rsidR="00267670" w:rsidRDefault="00247E77" w:rsidP="007745C5">
      <w:pPr>
        <w:spacing w:after="160" w:line="259" w:lineRule="auto"/>
        <w:rPr>
          <w:rFonts w:asciiTheme="majorHAnsi" w:eastAsia="Arial" w:hAnsiTheme="majorHAnsi" w:cstheme="majorHAnsi"/>
          <w:color w:val="808080" w:themeColor="background1" w:themeShade="80"/>
        </w:rPr>
      </w:pPr>
      <w:r>
        <w:rPr>
          <w:rFonts w:asciiTheme="majorHAnsi" w:eastAsia="Arial" w:hAnsiTheme="majorHAnsi" w:cstheme="majorHAnsi"/>
        </w:rPr>
        <w:t>Not</w:t>
      </w:r>
      <w:r w:rsidRPr="000619E1">
        <w:rPr>
          <w:rFonts w:asciiTheme="majorHAnsi" w:eastAsia="Arial" w:hAnsiTheme="majorHAnsi" w:cstheme="majorHAnsi"/>
        </w:rPr>
        <w:t xml:space="preserve"> every activity </w:t>
      </w:r>
      <w:r>
        <w:rPr>
          <w:rFonts w:asciiTheme="majorHAnsi" w:eastAsia="Arial" w:hAnsiTheme="majorHAnsi" w:cstheme="majorHAnsi"/>
        </w:rPr>
        <w:t>that has been</w:t>
      </w:r>
      <w:r w:rsidRPr="000619E1">
        <w:rPr>
          <w:rFonts w:asciiTheme="majorHAnsi" w:eastAsia="Arial" w:hAnsiTheme="majorHAnsi" w:cstheme="majorHAnsi"/>
        </w:rPr>
        <w:t xml:space="preserve"> recorded</w:t>
      </w:r>
      <w:r>
        <w:rPr>
          <w:rFonts w:asciiTheme="majorHAnsi" w:eastAsia="Arial" w:hAnsiTheme="majorHAnsi" w:cstheme="majorHAnsi"/>
        </w:rPr>
        <w:t xml:space="preserve"> needs to be linked to a core competency, as long all </w:t>
      </w:r>
      <w:r w:rsidR="007745C5">
        <w:rPr>
          <w:rFonts w:asciiTheme="majorHAnsi" w:eastAsia="Arial" w:hAnsiTheme="majorHAnsi" w:cstheme="majorHAnsi"/>
        </w:rPr>
        <w:t xml:space="preserve">four </w:t>
      </w:r>
      <w:r>
        <w:rPr>
          <w:rFonts w:asciiTheme="majorHAnsi" w:eastAsia="Arial" w:hAnsiTheme="majorHAnsi" w:cstheme="majorHAnsi"/>
        </w:rPr>
        <w:t>core competencies are linked to at least one activity</w:t>
      </w:r>
      <w:r w:rsidRPr="000619E1">
        <w:rPr>
          <w:rFonts w:asciiTheme="majorHAnsi" w:eastAsia="Arial" w:hAnsiTheme="majorHAnsi" w:cstheme="majorHAnsi"/>
        </w:rPr>
        <w:t>.</w:t>
      </w:r>
      <w:r>
        <w:rPr>
          <w:rFonts w:asciiTheme="majorHAnsi" w:eastAsia="Arial" w:hAnsiTheme="majorHAnsi" w:cstheme="majorHAnsi"/>
        </w:rPr>
        <w:t xml:space="preserve"> However, </w:t>
      </w:r>
      <w:r w:rsidR="00BE1334">
        <w:rPr>
          <w:rFonts w:asciiTheme="majorHAnsi" w:eastAsia="Arial" w:hAnsiTheme="majorHAnsi" w:cstheme="majorHAnsi"/>
        </w:rPr>
        <w:t xml:space="preserve">it is the intention that </w:t>
      </w:r>
      <w:r>
        <w:rPr>
          <w:rFonts w:asciiTheme="majorHAnsi" w:eastAsia="Arial" w:hAnsiTheme="majorHAnsi" w:cstheme="majorHAnsi"/>
        </w:rPr>
        <w:t>t</w:t>
      </w:r>
      <w:r w:rsidRPr="000619E1">
        <w:rPr>
          <w:rFonts w:asciiTheme="majorHAnsi" w:eastAsia="Arial" w:hAnsiTheme="majorHAnsi" w:cstheme="majorHAnsi"/>
        </w:rPr>
        <w:t xml:space="preserve">he </w:t>
      </w:r>
      <w:r>
        <w:rPr>
          <w:rFonts w:asciiTheme="majorHAnsi" w:eastAsia="Arial" w:hAnsiTheme="majorHAnsi" w:cstheme="majorHAnsi"/>
        </w:rPr>
        <w:t xml:space="preserve">Continuing Competency Record sheet will </w:t>
      </w:r>
      <w:r w:rsidRPr="000619E1">
        <w:rPr>
          <w:rFonts w:asciiTheme="majorHAnsi" w:eastAsia="Arial" w:hAnsiTheme="majorHAnsi" w:cstheme="majorHAnsi"/>
        </w:rPr>
        <w:t xml:space="preserve">show the Registration Panel the breadth of </w:t>
      </w:r>
      <w:r>
        <w:rPr>
          <w:rFonts w:asciiTheme="majorHAnsi" w:eastAsia="Arial" w:hAnsiTheme="majorHAnsi" w:cstheme="majorHAnsi"/>
        </w:rPr>
        <w:t>the applicant’s</w:t>
      </w:r>
      <w:r w:rsidRPr="000619E1">
        <w:rPr>
          <w:rFonts w:asciiTheme="majorHAnsi" w:eastAsia="Arial" w:hAnsiTheme="majorHAnsi" w:cstheme="majorHAnsi"/>
        </w:rPr>
        <w:t xml:space="preserve"> continuing competency. </w:t>
      </w:r>
      <w:r w:rsidR="00267670" w:rsidRPr="000619E1">
        <w:rPr>
          <w:rFonts w:asciiTheme="majorHAnsi" w:eastAsia="Arial" w:hAnsiTheme="majorHAnsi" w:cstheme="majorHAnsi"/>
        </w:rPr>
        <w:t xml:space="preserve">Some of the competencies may be similar </w:t>
      </w:r>
      <w:r w:rsidR="00267670">
        <w:rPr>
          <w:rFonts w:asciiTheme="majorHAnsi" w:eastAsia="Arial" w:hAnsiTheme="majorHAnsi" w:cstheme="majorHAnsi"/>
        </w:rPr>
        <w:t xml:space="preserve">and allow for one activity to be </w:t>
      </w:r>
      <w:r w:rsidR="00267670" w:rsidRPr="001E16F9">
        <w:rPr>
          <w:rFonts w:asciiTheme="majorHAnsi" w:eastAsia="Arial" w:hAnsiTheme="majorHAnsi" w:cstheme="majorHAnsi"/>
        </w:rPr>
        <w:t>linked to several core competencies</w:t>
      </w:r>
      <w:r w:rsidR="00267670">
        <w:rPr>
          <w:rFonts w:asciiTheme="majorHAnsi" w:eastAsia="Arial" w:hAnsiTheme="majorHAnsi" w:cstheme="majorHAnsi"/>
        </w:rPr>
        <w:t xml:space="preserve">. </w:t>
      </w:r>
    </w:p>
    <w:p w14:paraId="31BADF25" w14:textId="690F6462" w:rsidR="00992180" w:rsidRDefault="00992180" w:rsidP="00267670">
      <w:pPr>
        <w:rPr>
          <w:rFonts w:asciiTheme="majorHAnsi" w:eastAsia="Arial" w:hAnsiTheme="majorHAnsi" w:cstheme="majorHAnsi"/>
        </w:rPr>
      </w:pPr>
    </w:p>
    <w:p w14:paraId="0E8AEA8E" w14:textId="79DADA77" w:rsidR="00992180" w:rsidRDefault="00992180" w:rsidP="00267670">
      <w:pPr>
        <w:rPr>
          <w:rFonts w:asciiTheme="majorHAnsi" w:eastAsia="Arial" w:hAnsiTheme="majorHAnsi" w:cstheme="majorHAnsi"/>
        </w:rPr>
      </w:pPr>
      <w:r>
        <w:rPr>
          <w:rFonts w:asciiTheme="majorHAnsi" w:eastAsia="Arial" w:hAnsiTheme="majorHAnsi" w:cstheme="majorHAnsi"/>
        </w:rPr>
        <w:t>For example:</w:t>
      </w:r>
    </w:p>
    <w:p w14:paraId="5BFC0C3A" w14:textId="6B5AAC5C" w:rsidR="00992180" w:rsidRDefault="00992180" w:rsidP="00992180">
      <w:pPr>
        <w:pStyle w:val="ListParagraph"/>
        <w:numPr>
          <w:ilvl w:val="0"/>
          <w:numId w:val="5"/>
        </w:numPr>
        <w:rPr>
          <w:rFonts w:asciiTheme="majorHAnsi" w:eastAsia="Arial" w:hAnsiTheme="majorHAnsi" w:cstheme="majorHAnsi"/>
        </w:rPr>
      </w:pPr>
      <w:r>
        <w:rPr>
          <w:rFonts w:asciiTheme="majorHAnsi" w:eastAsia="Arial" w:hAnsiTheme="majorHAnsi" w:cstheme="majorHAnsi"/>
        </w:rPr>
        <w:t>Designing a workshop on cooking for seniors required familiarization with Eating and Activity Guidelines for older adults</w:t>
      </w:r>
      <w:r w:rsidR="00A24F55">
        <w:rPr>
          <w:rFonts w:asciiTheme="majorHAnsi" w:eastAsia="Arial" w:hAnsiTheme="majorHAnsi" w:cstheme="majorHAnsi"/>
        </w:rPr>
        <w:t xml:space="preserve"> (</w:t>
      </w:r>
      <w:r w:rsidR="007745C5">
        <w:rPr>
          <w:rFonts w:asciiTheme="majorHAnsi" w:eastAsia="Arial" w:hAnsiTheme="majorHAnsi" w:cstheme="majorHAnsi"/>
        </w:rPr>
        <w:t>CC</w:t>
      </w:r>
      <w:r w:rsidR="00A24F55">
        <w:rPr>
          <w:rFonts w:asciiTheme="majorHAnsi" w:eastAsia="Arial" w:hAnsiTheme="majorHAnsi" w:cstheme="majorHAnsi"/>
        </w:rPr>
        <w:t>4)</w:t>
      </w:r>
      <w:r>
        <w:rPr>
          <w:rFonts w:asciiTheme="majorHAnsi" w:eastAsia="Arial" w:hAnsiTheme="majorHAnsi" w:cstheme="majorHAnsi"/>
        </w:rPr>
        <w:t>, and understanding of the social influences of eating choices of older adults in the local area</w:t>
      </w:r>
      <w:r w:rsidR="00A24F55">
        <w:rPr>
          <w:rFonts w:asciiTheme="majorHAnsi" w:eastAsia="Arial" w:hAnsiTheme="majorHAnsi" w:cstheme="majorHAnsi"/>
        </w:rPr>
        <w:t xml:space="preserve"> (</w:t>
      </w:r>
      <w:r w:rsidR="007745C5">
        <w:rPr>
          <w:rFonts w:asciiTheme="majorHAnsi" w:eastAsia="Arial" w:hAnsiTheme="majorHAnsi" w:cstheme="majorHAnsi"/>
        </w:rPr>
        <w:t>CC</w:t>
      </w:r>
      <w:r w:rsidR="00A24F55">
        <w:rPr>
          <w:rFonts w:asciiTheme="majorHAnsi" w:eastAsia="Arial" w:hAnsiTheme="majorHAnsi" w:cstheme="majorHAnsi"/>
        </w:rPr>
        <w:t>3)</w:t>
      </w:r>
    </w:p>
    <w:p w14:paraId="4B047251" w14:textId="23FC8E00" w:rsidR="00A24F55" w:rsidRPr="004D14E7" w:rsidRDefault="00A24F55" w:rsidP="004D14E7">
      <w:pPr>
        <w:pStyle w:val="ListParagraph"/>
        <w:numPr>
          <w:ilvl w:val="0"/>
          <w:numId w:val="5"/>
        </w:numPr>
        <w:rPr>
          <w:rFonts w:asciiTheme="majorHAnsi" w:eastAsia="Arial" w:hAnsiTheme="majorHAnsi" w:cstheme="majorHAnsi"/>
        </w:rPr>
      </w:pPr>
      <w:r>
        <w:rPr>
          <w:rFonts w:asciiTheme="majorHAnsi" w:eastAsia="Arial" w:hAnsiTheme="majorHAnsi" w:cstheme="majorHAnsi"/>
        </w:rPr>
        <w:t>Undertaking a literature review on hydration needs (</w:t>
      </w:r>
      <w:r w:rsidR="007745C5">
        <w:rPr>
          <w:rFonts w:asciiTheme="majorHAnsi" w:eastAsia="Arial" w:hAnsiTheme="majorHAnsi" w:cstheme="majorHAnsi"/>
        </w:rPr>
        <w:t>CC</w:t>
      </w:r>
      <w:r>
        <w:rPr>
          <w:rFonts w:asciiTheme="majorHAnsi" w:eastAsia="Arial" w:hAnsiTheme="majorHAnsi" w:cstheme="majorHAnsi"/>
        </w:rPr>
        <w:t>1) and translating the information into a fact sheet for athletes (</w:t>
      </w:r>
      <w:r w:rsidR="007745C5">
        <w:rPr>
          <w:rFonts w:asciiTheme="majorHAnsi" w:eastAsia="Arial" w:hAnsiTheme="majorHAnsi" w:cstheme="majorHAnsi"/>
        </w:rPr>
        <w:t>CC</w:t>
      </w:r>
      <w:r>
        <w:rPr>
          <w:rFonts w:asciiTheme="majorHAnsi" w:eastAsia="Arial" w:hAnsiTheme="majorHAnsi" w:cstheme="majorHAnsi"/>
        </w:rPr>
        <w:t>4)</w:t>
      </w:r>
    </w:p>
    <w:p w14:paraId="62BB102F" w14:textId="77777777" w:rsidR="00C77269" w:rsidRDefault="00C77269">
      <w:pPr>
        <w:rPr>
          <w:rFonts w:ascii="Arial" w:eastAsia="Arial" w:hAnsi="Arial" w:cs="Arial"/>
        </w:rPr>
      </w:pPr>
    </w:p>
    <w:p w14:paraId="57AAD77A" w14:textId="3BDB32EA" w:rsidR="00CC0B2B" w:rsidRPr="00401A72" w:rsidRDefault="00F438C4">
      <w:pPr>
        <w:pStyle w:val="Heading2"/>
        <w:rPr>
          <w:rFonts w:ascii="Calibri" w:hAnsi="Calibri" w:cs="Calibri"/>
        </w:rPr>
      </w:pPr>
      <w:r w:rsidRPr="00401A72">
        <w:rPr>
          <w:rFonts w:ascii="Calibri" w:hAnsi="Calibri" w:cs="Calibri"/>
        </w:rPr>
        <w:t xml:space="preserve">Part </w:t>
      </w:r>
      <w:r w:rsidR="00DB29BB" w:rsidRPr="00401A72">
        <w:rPr>
          <w:rFonts w:ascii="Calibri" w:hAnsi="Calibri" w:cs="Calibri"/>
        </w:rPr>
        <w:t>3</w:t>
      </w:r>
      <w:r w:rsidRPr="00401A72">
        <w:rPr>
          <w:rFonts w:ascii="Calibri" w:hAnsi="Calibri" w:cs="Calibri"/>
        </w:rPr>
        <w:t xml:space="preserve">: Professional </w:t>
      </w:r>
      <w:r w:rsidR="00345222" w:rsidRPr="00401A72">
        <w:rPr>
          <w:rFonts w:ascii="Calibri" w:hAnsi="Calibri" w:cs="Calibri"/>
        </w:rPr>
        <w:t>Conduct</w:t>
      </w:r>
      <w:r w:rsidR="007745C5" w:rsidRPr="00401A72">
        <w:rPr>
          <w:rFonts w:ascii="Calibri" w:hAnsi="Calibri" w:cs="Calibri"/>
        </w:rPr>
        <w:t xml:space="preserve"> (PC)</w:t>
      </w:r>
    </w:p>
    <w:p w14:paraId="50193B5C" w14:textId="77777777" w:rsidR="00CC0B2B" w:rsidRPr="000619E1" w:rsidRDefault="00CC0B2B">
      <w:pPr>
        <w:rPr>
          <w:rFonts w:asciiTheme="majorHAnsi" w:eastAsia="Arial" w:hAnsiTheme="majorHAnsi" w:cstheme="majorHAnsi"/>
        </w:rPr>
      </w:pPr>
    </w:p>
    <w:p w14:paraId="730722AB" w14:textId="422A08CB" w:rsidR="00CC0B2B" w:rsidRPr="000619E1" w:rsidRDefault="00430DE2" w:rsidP="004D14E7">
      <w:pPr>
        <w:spacing w:after="160" w:line="259" w:lineRule="auto"/>
        <w:rPr>
          <w:rFonts w:asciiTheme="majorHAnsi" w:eastAsia="Arial" w:hAnsiTheme="majorHAnsi" w:cstheme="majorHAnsi"/>
        </w:rPr>
      </w:pPr>
      <w:r>
        <w:rPr>
          <w:rFonts w:asciiTheme="majorHAnsi" w:eastAsia="Arial" w:hAnsiTheme="majorHAnsi" w:cstheme="majorHAnsi"/>
        </w:rPr>
        <w:t>A Registered Nutritionist needs</w:t>
      </w:r>
      <w:r w:rsidR="00F438C4" w:rsidRPr="000619E1">
        <w:rPr>
          <w:rFonts w:asciiTheme="majorHAnsi" w:eastAsia="Arial" w:hAnsiTheme="majorHAnsi" w:cstheme="majorHAnsi"/>
        </w:rPr>
        <w:t xml:space="preserve"> to show how </w:t>
      </w:r>
      <w:r>
        <w:rPr>
          <w:rFonts w:asciiTheme="majorHAnsi" w:eastAsia="Arial" w:hAnsiTheme="majorHAnsi" w:cstheme="majorHAnsi"/>
        </w:rPr>
        <w:t>they</w:t>
      </w:r>
      <w:r w:rsidRPr="000619E1">
        <w:rPr>
          <w:rFonts w:asciiTheme="majorHAnsi" w:eastAsia="Arial" w:hAnsiTheme="majorHAnsi" w:cstheme="majorHAnsi"/>
        </w:rPr>
        <w:t xml:space="preserve"> </w:t>
      </w:r>
      <w:r w:rsidR="00F438C4" w:rsidRPr="000619E1">
        <w:rPr>
          <w:rFonts w:asciiTheme="majorHAnsi" w:eastAsia="Arial" w:hAnsiTheme="majorHAnsi" w:cstheme="majorHAnsi"/>
        </w:rPr>
        <w:t>maintain the selected professional standards</w:t>
      </w:r>
      <w:r w:rsidR="007745C5">
        <w:rPr>
          <w:rFonts w:asciiTheme="majorHAnsi" w:eastAsia="Arial" w:hAnsiTheme="majorHAnsi" w:cstheme="majorHAnsi"/>
        </w:rPr>
        <w:t xml:space="preserve"> </w:t>
      </w:r>
      <w:r w:rsidR="007745C5" w:rsidRPr="004D14E7">
        <w:t>(see</w:t>
      </w:r>
      <w:r w:rsidR="007745C5">
        <w:t xml:space="preserve"> </w:t>
      </w:r>
      <w:r w:rsidR="00CE33B1">
        <w:t>page 19 of the</w:t>
      </w:r>
      <w:r w:rsidR="007745C5">
        <w:t xml:space="preserve"> document ‘Detailed Core Competencies for Each Field of Expertise’ for </w:t>
      </w:r>
      <w:r w:rsidR="007745C5">
        <w:rPr>
          <w:rFonts w:asciiTheme="majorHAnsi" w:eastAsia="Arial" w:hAnsiTheme="majorHAnsi" w:cstheme="majorHAnsi"/>
        </w:rPr>
        <w:t>detailed examples</w:t>
      </w:r>
      <w:r w:rsidR="007745C5">
        <w:t>).</w:t>
      </w:r>
      <w:r w:rsidR="00F438C4" w:rsidRPr="000619E1">
        <w:rPr>
          <w:rFonts w:asciiTheme="majorHAnsi" w:eastAsia="Arial" w:hAnsiTheme="majorHAnsi" w:cstheme="majorHAnsi"/>
        </w:rPr>
        <w:t xml:space="preserve"> Not every aspect of the professional standards has been included as some areas are inherent in the way </w:t>
      </w:r>
      <w:r>
        <w:rPr>
          <w:rFonts w:asciiTheme="majorHAnsi" w:eastAsia="Arial" w:hAnsiTheme="majorHAnsi" w:cstheme="majorHAnsi"/>
        </w:rPr>
        <w:t>individual nutritionists</w:t>
      </w:r>
      <w:r w:rsidRPr="000619E1">
        <w:rPr>
          <w:rFonts w:asciiTheme="majorHAnsi" w:eastAsia="Arial" w:hAnsiTheme="majorHAnsi" w:cstheme="majorHAnsi"/>
        </w:rPr>
        <w:t xml:space="preserve"> </w:t>
      </w:r>
      <w:r w:rsidR="00F438C4" w:rsidRPr="000619E1">
        <w:rPr>
          <w:rFonts w:asciiTheme="majorHAnsi" w:eastAsia="Arial" w:hAnsiTheme="majorHAnsi" w:cstheme="majorHAnsi"/>
        </w:rPr>
        <w:t>work</w:t>
      </w:r>
      <w:r>
        <w:rPr>
          <w:rFonts w:asciiTheme="majorHAnsi" w:eastAsia="Arial" w:hAnsiTheme="majorHAnsi" w:cstheme="majorHAnsi"/>
        </w:rPr>
        <w:t xml:space="preserve">, </w:t>
      </w:r>
      <w:r w:rsidR="00C375E9">
        <w:rPr>
          <w:rFonts w:asciiTheme="majorHAnsi" w:eastAsia="Arial" w:hAnsiTheme="majorHAnsi" w:cstheme="majorHAnsi"/>
        </w:rPr>
        <w:t>or</w:t>
      </w:r>
      <w:r>
        <w:rPr>
          <w:rFonts w:asciiTheme="majorHAnsi" w:eastAsia="Arial" w:hAnsiTheme="majorHAnsi" w:cstheme="majorHAnsi"/>
        </w:rPr>
        <w:t xml:space="preserve"> </w:t>
      </w:r>
      <w:r w:rsidR="00F438C4" w:rsidRPr="000619E1">
        <w:rPr>
          <w:rFonts w:asciiTheme="majorHAnsi" w:eastAsia="Arial" w:hAnsiTheme="majorHAnsi" w:cstheme="majorHAnsi"/>
        </w:rPr>
        <w:t>it is difficult to provide evidence.</w:t>
      </w:r>
    </w:p>
    <w:p w14:paraId="73C9E9B0" w14:textId="77777777" w:rsidR="00CC0B2B" w:rsidRDefault="00CC0B2B">
      <w:pPr>
        <w:rPr>
          <w:rFonts w:ascii="Arial" w:eastAsia="Arial" w:hAnsi="Arial" w:cs="Arial"/>
        </w:rPr>
      </w:pPr>
    </w:p>
    <w:p w14:paraId="2416F09D" w14:textId="6EDC7A54" w:rsidR="00CC0B2B" w:rsidRPr="004D14E7" w:rsidRDefault="002E628D">
      <w:pPr>
        <w:pStyle w:val="Heading3"/>
        <w:rPr>
          <w:rFonts w:asciiTheme="majorHAnsi" w:hAnsiTheme="majorHAnsi" w:cstheme="majorHAnsi"/>
          <w:b/>
          <w:color w:val="auto"/>
        </w:rPr>
      </w:pPr>
      <w:r>
        <w:rPr>
          <w:rFonts w:asciiTheme="majorHAnsi" w:hAnsiTheme="majorHAnsi" w:cstheme="majorHAnsi"/>
          <w:b/>
          <w:color w:val="auto"/>
        </w:rPr>
        <w:t xml:space="preserve">Professional Conduct </w:t>
      </w:r>
      <w:r w:rsidR="00F438C4" w:rsidRPr="004D14E7">
        <w:rPr>
          <w:rFonts w:asciiTheme="majorHAnsi" w:hAnsiTheme="majorHAnsi" w:cstheme="majorHAnsi"/>
          <w:b/>
          <w:color w:val="auto"/>
        </w:rPr>
        <w:t xml:space="preserve">Section </w:t>
      </w:r>
      <w:r w:rsidR="00345222" w:rsidRPr="004D14E7">
        <w:rPr>
          <w:rFonts w:asciiTheme="majorHAnsi" w:hAnsiTheme="majorHAnsi" w:cstheme="majorHAnsi"/>
          <w:b/>
          <w:color w:val="auto"/>
        </w:rPr>
        <w:t>PC</w:t>
      </w:r>
      <w:r w:rsidR="00F438C4" w:rsidRPr="004D14E7">
        <w:rPr>
          <w:rFonts w:asciiTheme="majorHAnsi" w:hAnsiTheme="majorHAnsi" w:cstheme="majorHAnsi"/>
          <w:b/>
          <w:color w:val="auto"/>
        </w:rPr>
        <w:t>1-</w:t>
      </w:r>
      <w:r w:rsidR="00345222" w:rsidRPr="004D14E7">
        <w:rPr>
          <w:rFonts w:asciiTheme="majorHAnsi" w:hAnsiTheme="majorHAnsi" w:cstheme="majorHAnsi"/>
          <w:b/>
          <w:color w:val="auto"/>
        </w:rPr>
        <w:t>PC</w:t>
      </w:r>
      <w:r w:rsidR="00F438C4" w:rsidRPr="004D14E7">
        <w:rPr>
          <w:rFonts w:asciiTheme="majorHAnsi" w:hAnsiTheme="majorHAnsi" w:cstheme="majorHAnsi"/>
          <w:b/>
          <w:color w:val="auto"/>
        </w:rPr>
        <w:t>4</w:t>
      </w:r>
      <w:r w:rsidR="006F077A">
        <w:rPr>
          <w:rFonts w:asciiTheme="majorHAnsi" w:hAnsiTheme="majorHAnsi" w:cstheme="majorHAnsi"/>
          <w:b/>
          <w:color w:val="auto"/>
        </w:rPr>
        <w:t xml:space="preserve"> </w:t>
      </w:r>
    </w:p>
    <w:p w14:paraId="1F196B43" w14:textId="56FC1F99" w:rsidR="00CC0B2B" w:rsidRPr="000619E1" w:rsidRDefault="00F438C4">
      <w:pPr>
        <w:rPr>
          <w:rFonts w:asciiTheme="majorHAnsi" w:eastAsia="Arial" w:hAnsiTheme="majorHAnsi" w:cstheme="majorHAnsi"/>
        </w:rPr>
      </w:pPr>
      <w:r w:rsidRPr="000619E1">
        <w:rPr>
          <w:rFonts w:asciiTheme="majorHAnsi" w:eastAsia="Arial" w:hAnsiTheme="majorHAnsi" w:cstheme="majorHAnsi"/>
        </w:rPr>
        <w:t xml:space="preserve">For the listed </w:t>
      </w:r>
      <w:r w:rsidR="007745C5">
        <w:rPr>
          <w:rFonts w:asciiTheme="majorHAnsi" w:eastAsia="Arial" w:hAnsiTheme="majorHAnsi" w:cstheme="majorHAnsi"/>
        </w:rPr>
        <w:t>standards</w:t>
      </w:r>
      <w:r w:rsidRPr="000619E1">
        <w:rPr>
          <w:rFonts w:asciiTheme="majorHAnsi" w:eastAsia="Arial" w:hAnsiTheme="majorHAnsi" w:cstheme="majorHAnsi"/>
        </w:rPr>
        <w:t xml:space="preserve">, </w:t>
      </w:r>
      <w:r w:rsidR="00285A36">
        <w:rPr>
          <w:rFonts w:asciiTheme="majorHAnsi" w:eastAsia="Arial" w:hAnsiTheme="majorHAnsi" w:cstheme="majorHAnsi"/>
        </w:rPr>
        <w:t>the</w:t>
      </w:r>
      <w:r w:rsidR="007E7D07">
        <w:rPr>
          <w:rFonts w:asciiTheme="majorHAnsi" w:eastAsia="Arial" w:hAnsiTheme="majorHAnsi" w:cstheme="majorHAnsi"/>
        </w:rPr>
        <w:t xml:space="preserve"> applicant </w:t>
      </w:r>
      <w:r w:rsidRPr="000619E1">
        <w:rPr>
          <w:rFonts w:asciiTheme="majorHAnsi" w:eastAsia="Arial" w:hAnsiTheme="majorHAnsi" w:cstheme="majorHAnsi"/>
        </w:rPr>
        <w:t>provide</w:t>
      </w:r>
      <w:r w:rsidR="007E7D07">
        <w:rPr>
          <w:rFonts w:asciiTheme="majorHAnsi" w:eastAsia="Arial" w:hAnsiTheme="majorHAnsi" w:cstheme="majorHAnsi"/>
        </w:rPr>
        <w:t>s</w:t>
      </w:r>
      <w:r w:rsidRPr="000619E1">
        <w:rPr>
          <w:rFonts w:asciiTheme="majorHAnsi" w:eastAsia="Arial" w:hAnsiTheme="majorHAnsi" w:cstheme="majorHAnsi"/>
        </w:rPr>
        <w:t xml:space="preserve"> an example of how </w:t>
      </w:r>
      <w:r w:rsidR="007E7D07">
        <w:rPr>
          <w:rFonts w:asciiTheme="majorHAnsi" w:eastAsia="Arial" w:hAnsiTheme="majorHAnsi" w:cstheme="majorHAnsi"/>
        </w:rPr>
        <w:t xml:space="preserve">they </w:t>
      </w:r>
      <w:r w:rsidRPr="000619E1">
        <w:rPr>
          <w:rFonts w:asciiTheme="majorHAnsi" w:eastAsia="Arial" w:hAnsiTheme="majorHAnsi" w:cstheme="majorHAnsi"/>
        </w:rPr>
        <w:t>adhere to the code</w:t>
      </w:r>
      <w:r w:rsidR="007E7D07">
        <w:rPr>
          <w:rFonts w:asciiTheme="majorHAnsi" w:eastAsia="Arial" w:hAnsiTheme="majorHAnsi" w:cstheme="majorHAnsi"/>
        </w:rPr>
        <w:t xml:space="preserve">. Although some examples may </w:t>
      </w:r>
      <w:r w:rsidRPr="000619E1">
        <w:rPr>
          <w:rFonts w:asciiTheme="majorHAnsi" w:eastAsia="Arial" w:hAnsiTheme="majorHAnsi" w:cstheme="majorHAnsi"/>
        </w:rPr>
        <w:t>appear obvious,</w:t>
      </w:r>
      <w:r w:rsidR="00C510BF">
        <w:rPr>
          <w:rFonts w:asciiTheme="majorHAnsi" w:eastAsia="Arial" w:hAnsiTheme="majorHAnsi" w:cstheme="majorHAnsi"/>
        </w:rPr>
        <w:t xml:space="preserve"> they</w:t>
      </w:r>
      <w:r w:rsidRPr="000619E1">
        <w:rPr>
          <w:rFonts w:asciiTheme="majorHAnsi" w:eastAsia="Arial" w:hAnsiTheme="majorHAnsi" w:cstheme="majorHAnsi"/>
        </w:rPr>
        <w:t xml:space="preserve"> </w:t>
      </w:r>
      <w:r w:rsidR="007E7D07">
        <w:rPr>
          <w:rFonts w:asciiTheme="majorHAnsi" w:eastAsia="Arial" w:hAnsiTheme="majorHAnsi" w:cstheme="majorHAnsi"/>
        </w:rPr>
        <w:t xml:space="preserve">help </w:t>
      </w:r>
      <w:r w:rsidR="00285A36">
        <w:rPr>
          <w:rFonts w:asciiTheme="majorHAnsi" w:eastAsia="Arial" w:hAnsiTheme="majorHAnsi" w:cstheme="majorHAnsi"/>
        </w:rPr>
        <w:t>inform the</w:t>
      </w:r>
      <w:r w:rsidRPr="000619E1">
        <w:rPr>
          <w:rFonts w:asciiTheme="majorHAnsi" w:eastAsia="Arial" w:hAnsiTheme="majorHAnsi" w:cstheme="majorHAnsi"/>
        </w:rPr>
        <w:t xml:space="preserve"> Registration Panel </w:t>
      </w:r>
      <w:r w:rsidR="00285A36">
        <w:rPr>
          <w:rFonts w:asciiTheme="majorHAnsi" w:eastAsia="Arial" w:hAnsiTheme="majorHAnsi" w:cstheme="majorHAnsi"/>
        </w:rPr>
        <w:t>on how</w:t>
      </w:r>
      <w:r w:rsidRPr="000619E1">
        <w:rPr>
          <w:rFonts w:asciiTheme="majorHAnsi" w:eastAsia="Arial" w:hAnsiTheme="majorHAnsi" w:cstheme="majorHAnsi"/>
        </w:rPr>
        <w:t xml:space="preserve"> </w:t>
      </w:r>
      <w:r w:rsidR="007E7D07">
        <w:rPr>
          <w:rFonts w:asciiTheme="majorHAnsi" w:eastAsia="Arial" w:hAnsiTheme="majorHAnsi" w:cstheme="majorHAnsi"/>
        </w:rPr>
        <w:t xml:space="preserve">the </w:t>
      </w:r>
      <w:r w:rsidR="007E7D07" w:rsidRPr="00C510BF">
        <w:rPr>
          <w:rFonts w:asciiTheme="majorHAnsi" w:eastAsia="Arial" w:hAnsiTheme="majorHAnsi" w:cstheme="majorHAnsi"/>
        </w:rPr>
        <w:t>applicant</w:t>
      </w:r>
      <w:r w:rsidR="00285A36">
        <w:rPr>
          <w:rFonts w:asciiTheme="majorHAnsi" w:eastAsia="Arial" w:hAnsiTheme="majorHAnsi" w:cstheme="majorHAnsi"/>
        </w:rPr>
        <w:t xml:space="preserve"> </w:t>
      </w:r>
      <w:r w:rsidR="00780626">
        <w:rPr>
          <w:rFonts w:asciiTheme="majorHAnsi" w:eastAsia="Arial" w:hAnsiTheme="majorHAnsi" w:cstheme="majorHAnsi"/>
        </w:rPr>
        <w:t xml:space="preserve">has reflected on their </w:t>
      </w:r>
      <w:r w:rsidRPr="00C510BF">
        <w:rPr>
          <w:rFonts w:asciiTheme="majorHAnsi" w:eastAsia="Arial" w:hAnsiTheme="majorHAnsi" w:cstheme="majorHAnsi"/>
        </w:rPr>
        <w:t>adhere</w:t>
      </w:r>
      <w:r w:rsidR="00285A36">
        <w:rPr>
          <w:rFonts w:asciiTheme="majorHAnsi" w:eastAsia="Arial" w:hAnsiTheme="majorHAnsi" w:cstheme="majorHAnsi"/>
        </w:rPr>
        <w:t>s</w:t>
      </w:r>
      <w:r w:rsidRPr="00C510BF">
        <w:rPr>
          <w:rFonts w:asciiTheme="majorHAnsi" w:eastAsia="Arial" w:hAnsiTheme="majorHAnsi" w:cstheme="majorHAnsi"/>
        </w:rPr>
        <w:t xml:space="preserve"> to the code. Depending on the nature of work, </w:t>
      </w:r>
      <w:r w:rsidR="00C510BF">
        <w:rPr>
          <w:rFonts w:asciiTheme="majorHAnsi" w:eastAsia="Arial" w:hAnsiTheme="majorHAnsi" w:cstheme="majorHAnsi"/>
        </w:rPr>
        <w:t xml:space="preserve">the applicant </w:t>
      </w:r>
      <w:r w:rsidRPr="00C510BF">
        <w:rPr>
          <w:rFonts w:asciiTheme="majorHAnsi" w:eastAsia="Arial" w:hAnsiTheme="majorHAnsi" w:cstheme="majorHAnsi"/>
        </w:rPr>
        <w:t xml:space="preserve">may not be able to provide examples for every </w:t>
      </w:r>
      <w:r w:rsidR="007745C5">
        <w:rPr>
          <w:rFonts w:asciiTheme="majorHAnsi" w:eastAsia="Arial" w:hAnsiTheme="majorHAnsi" w:cstheme="majorHAnsi"/>
        </w:rPr>
        <w:t>standard</w:t>
      </w:r>
      <w:r w:rsidRPr="00C510BF">
        <w:rPr>
          <w:rFonts w:asciiTheme="majorHAnsi" w:eastAsia="Arial" w:hAnsiTheme="majorHAnsi" w:cstheme="majorHAnsi"/>
        </w:rPr>
        <w:t xml:space="preserve">, but </w:t>
      </w:r>
      <w:r w:rsidR="00C510BF">
        <w:rPr>
          <w:rFonts w:asciiTheme="majorHAnsi" w:eastAsia="Arial" w:hAnsiTheme="majorHAnsi" w:cstheme="majorHAnsi"/>
        </w:rPr>
        <w:t xml:space="preserve">at least </w:t>
      </w:r>
      <w:r w:rsidR="00C510BF" w:rsidRPr="000619E1">
        <w:rPr>
          <w:rFonts w:asciiTheme="majorHAnsi" w:eastAsia="Arial" w:hAnsiTheme="majorHAnsi" w:cstheme="majorHAnsi"/>
        </w:rPr>
        <w:t>one example for each section (</w:t>
      </w:r>
      <w:r w:rsidR="00C510BF">
        <w:rPr>
          <w:rFonts w:asciiTheme="majorHAnsi" w:eastAsia="Arial" w:hAnsiTheme="majorHAnsi" w:cstheme="majorHAnsi"/>
        </w:rPr>
        <w:t>PC</w:t>
      </w:r>
      <w:r w:rsidR="00C510BF" w:rsidRPr="000619E1">
        <w:rPr>
          <w:rFonts w:asciiTheme="majorHAnsi" w:eastAsia="Arial" w:hAnsiTheme="majorHAnsi" w:cstheme="majorHAnsi"/>
        </w:rPr>
        <w:t>1-</w:t>
      </w:r>
      <w:r w:rsidR="00C510BF">
        <w:rPr>
          <w:rFonts w:asciiTheme="majorHAnsi" w:eastAsia="Arial" w:hAnsiTheme="majorHAnsi" w:cstheme="majorHAnsi"/>
        </w:rPr>
        <w:t>PC</w:t>
      </w:r>
      <w:r w:rsidR="00C510BF" w:rsidRPr="000619E1">
        <w:rPr>
          <w:rFonts w:asciiTheme="majorHAnsi" w:eastAsia="Arial" w:hAnsiTheme="majorHAnsi" w:cstheme="majorHAnsi"/>
        </w:rPr>
        <w:t>4)</w:t>
      </w:r>
      <w:r w:rsidR="00C510BF">
        <w:rPr>
          <w:rFonts w:asciiTheme="majorHAnsi" w:eastAsia="Arial" w:hAnsiTheme="majorHAnsi" w:cstheme="majorHAnsi"/>
        </w:rPr>
        <w:t xml:space="preserve"> </w:t>
      </w:r>
      <w:r w:rsidRPr="00C510BF">
        <w:rPr>
          <w:rFonts w:asciiTheme="majorHAnsi" w:eastAsia="Arial" w:hAnsiTheme="majorHAnsi" w:cstheme="majorHAnsi"/>
        </w:rPr>
        <w:t xml:space="preserve">should </w:t>
      </w:r>
      <w:r w:rsidR="00C510BF">
        <w:rPr>
          <w:rFonts w:asciiTheme="majorHAnsi" w:eastAsia="Arial" w:hAnsiTheme="majorHAnsi" w:cstheme="majorHAnsi"/>
        </w:rPr>
        <w:t>be provided.</w:t>
      </w:r>
      <w:r w:rsidRPr="000619E1">
        <w:rPr>
          <w:rFonts w:asciiTheme="majorHAnsi" w:eastAsia="Arial" w:hAnsiTheme="majorHAnsi" w:cstheme="majorHAnsi"/>
        </w:rPr>
        <w:t xml:space="preserve"> </w:t>
      </w:r>
    </w:p>
    <w:p w14:paraId="2D34B3F8" w14:textId="77777777" w:rsidR="00CC0B2B" w:rsidRPr="000619E1" w:rsidRDefault="00CC0B2B">
      <w:pPr>
        <w:rPr>
          <w:rFonts w:asciiTheme="majorHAnsi" w:eastAsia="Arial" w:hAnsiTheme="majorHAnsi" w:cstheme="majorHAnsi"/>
        </w:rPr>
      </w:pPr>
    </w:p>
    <w:p w14:paraId="59E907A2" w14:textId="77777777" w:rsidR="00CC0B2B" w:rsidRPr="00A52190" w:rsidRDefault="00F438C4">
      <w:pPr>
        <w:rPr>
          <w:rFonts w:asciiTheme="majorHAnsi" w:eastAsia="Arial" w:hAnsiTheme="majorHAnsi" w:cstheme="majorHAnsi"/>
          <w:i/>
        </w:rPr>
      </w:pPr>
      <w:r w:rsidRPr="00A52190">
        <w:rPr>
          <w:rFonts w:asciiTheme="majorHAnsi" w:eastAsia="Arial" w:hAnsiTheme="majorHAnsi" w:cstheme="majorHAnsi"/>
          <w:i/>
        </w:rPr>
        <w:t xml:space="preserve">For example: </w:t>
      </w:r>
    </w:p>
    <w:p w14:paraId="5BD6CA2F" w14:textId="5E06A1B3" w:rsidR="00CC0B2B" w:rsidRPr="000619E1" w:rsidRDefault="006A7205">
      <w:pPr>
        <w:rPr>
          <w:rFonts w:asciiTheme="majorHAnsi" w:eastAsia="Arial" w:hAnsiTheme="majorHAnsi" w:cstheme="majorHAnsi"/>
        </w:rPr>
      </w:pPr>
      <w:r>
        <w:rPr>
          <w:rFonts w:asciiTheme="majorHAnsi" w:eastAsia="Arial" w:hAnsiTheme="majorHAnsi" w:cstheme="majorHAnsi"/>
        </w:rPr>
        <w:t xml:space="preserve">PC3. Respect for colleagues. </w:t>
      </w:r>
      <w:r w:rsidR="007745C5">
        <w:rPr>
          <w:rFonts w:asciiTheme="majorHAnsi" w:eastAsia="Arial" w:hAnsiTheme="majorHAnsi" w:cstheme="majorHAnsi"/>
        </w:rPr>
        <w:t>Standard</w:t>
      </w:r>
      <w:r>
        <w:rPr>
          <w:rFonts w:asciiTheme="majorHAnsi" w:eastAsia="Arial" w:hAnsiTheme="majorHAnsi" w:cstheme="majorHAnsi"/>
        </w:rPr>
        <w:t>: ‘</w:t>
      </w:r>
      <w:r w:rsidR="00F438C4" w:rsidRPr="000619E1">
        <w:rPr>
          <w:rFonts w:asciiTheme="majorHAnsi" w:eastAsia="Arial" w:hAnsiTheme="majorHAnsi" w:cstheme="majorHAnsi"/>
        </w:rPr>
        <w:t>Support professional conduct and development of colleagues and provide feedback in a constructive manner</w:t>
      </w:r>
      <w:r>
        <w:rPr>
          <w:rFonts w:asciiTheme="majorHAnsi" w:eastAsia="Arial" w:hAnsiTheme="majorHAnsi" w:cstheme="majorHAnsi"/>
        </w:rPr>
        <w:t>’</w:t>
      </w:r>
      <w:r w:rsidR="00F438C4" w:rsidRPr="000619E1">
        <w:rPr>
          <w:rFonts w:asciiTheme="majorHAnsi" w:eastAsia="Arial" w:hAnsiTheme="majorHAnsi" w:cstheme="majorHAnsi"/>
        </w:rPr>
        <w:t>.</w:t>
      </w:r>
    </w:p>
    <w:p w14:paraId="5A176256" w14:textId="77777777" w:rsidR="00CC0B2B" w:rsidRPr="00A52190" w:rsidRDefault="00F438C4" w:rsidP="00A52190">
      <w:pPr>
        <w:pStyle w:val="ListParagraph"/>
        <w:numPr>
          <w:ilvl w:val="0"/>
          <w:numId w:val="4"/>
        </w:numPr>
        <w:rPr>
          <w:rFonts w:asciiTheme="majorHAnsi" w:eastAsia="Arial" w:hAnsiTheme="majorHAnsi" w:cstheme="majorHAnsi"/>
        </w:rPr>
      </w:pPr>
      <w:r w:rsidRPr="00A52190">
        <w:rPr>
          <w:rFonts w:asciiTheme="majorHAnsi" w:eastAsia="Arial" w:hAnsiTheme="majorHAnsi" w:cstheme="majorHAnsi"/>
        </w:rPr>
        <w:t xml:space="preserve">Peer reviewed a report for a colleague. </w:t>
      </w:r>
    </w:p>
    <w:p w14:paraId="4E246159" w14:textId="77777777" w:rsidR="00CC0B2B" w:rsidRPr="00A52190" w:rsidRDefault="00F438C4" w:rsidP="00A52190">
      <w:pPr>
        <w:pStyle w:val="ListParagraph"/>
        <w:numPr>
          <w:ilvl w:val="0"/>
          <w:numId w:val="4"/>
        </w:numPr>
        <w:rPr>
          <w:rFonts w:asciiTheme="majorHAnsi" w:eastAsia="Arial" w:hAnsiTheme="majorHAnsi" w:cstheme="majorHAnsi"/>
        </w:rPr>
      </w:pPr>
      <w:r w:rsidRPr="00A52190">
        <w:rPr>
          <w:rFonts w:asciiTheme="majorHAnsi" w:eastAsia="Arial" w:hAnsiTheme="majorHAnsi" w:cstheme="majorHAnsi"/>
        </w:rPr>
        <w:t>Attended the first workshop that a colleague delivered to provide support and feedback.</w:t>
      </w:r>
    </w:p>
    <w:p w14:paraId="64B76095" w14:textId="77777777" w:rsidR="00CC0B2B" w:rsidRDefault="00CC0B2B">
      <w:pPr>
        <w:rPr>
          <w:rFonts w:asciiTheme="majorHAnsi" w:eastAsia="Arial" w:hAnsiTheme="majorHAnsi" w:cstheme="majorHAnsi"/>
        </w:rPr>
      </w:pPr>
    </w:p>
    <w:p w14:paraId="4D26E905" w14:textId="77777777" w:rsidR="001234C6" w:rsidRPr="000619E1" w:rsidRDefault="001234C6">
      <w:pPr>
        <w:rPr>
          <w:rFonts w:asciiTheme="majorHAnsi" w:eastAsia="Arial" w:hAnsiTheme="majorHAnsi" w:cstheme="majorHAnsi"/>
        </w:rPr>
      </w:pPr>
    </w:p>
    <w:p w14:paraId="4273EF89" w14:textId="20554DBA" w:rsidR="00A52190" w:rsidRPr="004D14E7" w:rsidRDefault="002E628D">
      <w:pPr>
        <w:rPr>
          <w:rFonts w:asciiTheme="majorHAnsi" w:eastAsia="Arial" w:hAnsiTheme="majorHAnsi" w:cstheme="majorHAnsi"/>
          <w:b/>
        </w:rPr>
      </w:pPr>
      <w:r>
        <w:rPr>
          <w:rFonts w:asciiTheme="majorHAnsi" w:hAnsiTheme="majorHAnsi" w:cstheme="majorHAnsi"/>
          <w:b/>
        </w:rPr>
        <w:t xml:space="preserve">Professional Conduct </w:t>
      </w:r>
      <w:r w:rsidR="00F438C4" w:rsidRPr="004D14E7">
        <w:rPr>
          <w:rFonts w:asciiTheme="majorHAnsi" w:eastAsia="Arial" w:hAnsiTheme="majorHAnsi" w:cstheme="majorHAnsi"/>
          <w:b/>
        </w:rPr>
        <w:t xml:space="preserve">Section </w:t>
      </w:r>
      <w:r w:rsidR="00345222" w:rsidRPr="004D14E7">
        <w:rPr>
          <w:rFonts w:asciiTheme="majorHAnsi" w:eastAsia="Arial" w:hAnsiTheme="majorHAnsi" w:cstheme="majorHAnsi"/>
          <w:b/>
        </w:rPr>
        <w:t>PC</w:t>
      </w:r>
      <w:r w:rsidR="00F438C4" w:rsidRPr="004D14E7">
        <w:rPr>
          <w:rFonts w:asciiTheme="majorHAnsi" w:eastAsia="Arial" w:hAnsiTheme="majorHAnsi" w:cstheme="majorHAnsi"/>
          <w:b/>
        </w:rPr>
        <w:t>5: Working with clients providing dietary advice</w:t>
      </w:r>
      <w:r w:rsidR="00A52190" w:rsidRPr="004D14E7">
        <w:rPr>
          <w:rFonts w:asciiTheme="majorHAnsi" w:eastAsia="Arial" w:hAnsiTheme="majorHAnsi" w:cstheme="majorHAnsi"/>
          <w:b/>
        </w:rPr>
        <w:t xml:space="preserve">. </w:t>
      </w:r>
    </w:p>
    <w:p w14:paraId="6A011861" w14:textId="2F9B68E5" w:rsidR="00CC0B2B" w:rsidRPr="000619E1" w:rsidRDefault="00A52190">
      <w:pPr>
        <w:rPr>
          <w:rFonts w:asciiTheme="majorHAnsi" w:eastAsia="Arial" w:hAnsiTheme="majorHAnsi" w:cstheme="majorHAnsi"/>
        </w:rPr>
      </w:pPr>
      <w:r>
        <w:rPr>
          <w:rFonts w:asciiTheme="majorHAnsi" w:eastAsia="Arial" w:hAnsiTheme="majorHAnsi" w:cstheme="majorHAnsi"/>
        </w:rPr>
        <w:t>This section</w:t>
      </w:r>
      <w:r w:rsidR="00F438C4" w:rsidRPr="000619E1">
        <w:rPr>
          <w:rFonts w:asciiTheme="majorHAnsi" w:eastAsia="Arial" w:hAnsiTheme="majorHAnsi" w:cstheme="majorHAnsi"/>
        </w:rPr>
        <w:t xml:space="preserve"> is only for those working in practice with individual clients.</w:t>
      </w:r>
    </w:p>
    <w:p w14:paraId="471142CA" w14:textId="77777777" w:rsidR="00CC0B2B" w:rsidRPr="000619E1" w:rsidRDefault="00CC0B2B">
      <w:pPr>
        <w:rPr>
          <w:rFonts w:asciiTheme="majorHAnsi" w:eastAsia="Arial" w:hAnsiTheme="majorHAnsi" w:cstheme="majorHAnsi"/>
        </w:rPr>
      </w:pPr>
    </w:p>
    <w:p w14:paraId="4180BA34" w14:textId="77777777" w:rsidR="007712DE" w:rsidRDefault="007712DE">
      <w:pPr>
        <w:rPr>
          <w:rFonts w:asciiTheme="majorHAnsi" w:eastAsia="Arial" w:hAnsiTheme="majorHAnsi" w:cstheme="majorHAnsi"/>
        </w:rPr>
      </w:pPr>
    </w:p>
    <w:p w14:paraId="7C3C1B64" w14:textId="7EFEC530" w:rsidR="00CC0B2B" w:rsidRPr="004D14E7" w:rsidRDefault="002E628D">
      <w:pPr>
        <w:rPr>
          <w:rFonts w:asciiTheme="majorHAnsi" w:eastAsia="Arial" w:hAnsiTheme="majorHAnsi" w:cstheme="majorHAnsi"/>
          <w:b/>
        </w:rPr>
      </w:pPr>
      <w:r>
        <w:rPr>
          <w:rFonts w:asciiTheme="majorHAnsi" w:hAnsiTheme="majorHAnsi" w:cstheme="majorHAnsi"/>
          <w:b/>
        </w:rPr>
        <w:t xml:space="preserve">Professional Conduct </w:t>
      </w:r>
      <w:r w:rsidR="00F438C4" w:rsidRPr="004D14E7">
        <w:rPr>
          <w:rFonts w:asciiTheme="majorHAnsi" w:eastAsia="Arial" w:hAnsiTheme="majorHAnsi" w:cstheme="majorHAnsi"/>
          <w:b/>
        </w:rPr>
        <w:t xml:space="preserve">Section </w:t>
      </w:r>
      <w:r w:rsidR="00345222" w:rsidRPr="004D14E7">
        <w:rPr>
          <w:rFonts w:asciiTheme="majorHAnsi" w:eastAsia="Arial" w:hAnsiTheme="majorHAnsi" w:cstheme="majorHAnsi"/>
          <w:b/>
        </w:rPr>
        <w:t>PC</w:t>
      </w:r>
      <w:r w:rsidR="00F438C4" w:rsidRPr="004D14E7">
        <w:rPr>
          <w:rFonts w:asciiTheme="majorHAnsi" w:eastAsia="Arial" w:hAnsiTheme="majorHAnsi" w:cstheme="majorHAnsi"/>
          <w:b/>
        </w:rPr>
        <w:t>6: Regular contact with other nutritionists</w:t>
      </w:r>
      <w:r w:rsidR="00A52190" w:rsidRPr="004D14E7">
        <w:rPr>
          <w:rFonts w:asciiTheme="majorHAnsi" w:eastAsia="Arial" w:hAnsiTheme="majorHAnsi" w:cstheme="majorHAnsi"/>
          <w:b/>
        </w:rPr>
        <w:t>.</w:t>
      </w:r>
    </w:p>
    <w:p w14:paraId="28F3CDA1" w14:textId="05233610" w:rsidR="00CC0B2B" w:rsidRPr="000619E1" w:rsidRDefault="00F438C4">
      <w:pPr>
        <w:rPr>
          <w:rFonts w:asciiTheme="majorHAnsi" w:eastAsia="Arial" w:hAnsiTheme="majorHAnsi" w:cstheme="majorHAnsi"/>
        </w:rPr>
      </w:pPr>
      <w:r w:rsidRPr="000619E1">
        <w:rPr>
          <w:rFonts w:asciiTheme="majorHAnsi" w:eastAsia="Arial" w:hAnsiTheme="majorHAnsi" w:cstheme="majorHAnsi"/>
        </w:rPr>
        <w:t>The Registration Panel considers it important that Registered Nutritionists have regular contact with other nutritionists for knowledge and support</w:t>
      </w:r>
      <w:r w:rsidR="00345222">
        <w:rPr>
          <w:rFonts w:asciiTheme="majorHAnsi" w:eastAsia="Arial" w:hAnsiTheme="majorHAnsi" w:cstheme="majorHAnsi"/>
        </w:rPr>
        <w:t xml:space="preserve">, hence the request to </w:t>
      </w:r>
      <w:r w:rsidRPr="000619E1">
        <w:rPr>
          <w:rFonts w:asciiTheme="majorHAnsi" w:eastAsia="Arial" w:hAnsiTheme="majorHAnsi" w:cstheme="majorHAnsi"/>
        </w:rPr>
        <w:t xml:space="preserve">list the ways </w:t>
      </w:r>
      <w:r w:rsidR="00345222">
        <w:rPr>
          <w:rFonts w:asciiTheme="majorHAnsi" w:eastAsia="Arial" w:hAnsiTheme="majorHAnsi" w:cstheme="majorHAnsi"/>
        </w:rPr>
        <w:t>contact has been maintained</w:t>
      </w:r>
      <w:r w:rsidRPr="000619E1">
        <w:rPr>
          <w:rFonts w:asciiTheme="majorHAnsi" w:eastAsia="Arial" w:hAnsiTheme="majorHAnsi" w:cstheme="majorHAnsi"/>
        </w:rPr>
        <w:t xml:space="preserve">. </w:t>
      </w:r>
      <w:r w:rsidR="007F148E">
        <w:rPr>
          <w:rFonts w:asciiTheme="majorHAnsi" w:eastAsia="Arial" w:hAnsiTheme="majorHAnsi" w:cstheme="majorHAnsi"/>
        </w:rPr>
        <w:t>Include the p</w:t>
      </w:r>
      <w:r w:rsidR="007F148E" w:rsidRPr="000619E1">
        <w:rPr>
          <w:rFonts w:asciiTheme="majorHAnsi" w:eastAsia="Arial" w:hAnsiTheme="majorHAnsi" w:cstheme="majorHAnsi"/>
        </w:rPr>
        <w:t>urpose of the contact, for example, working group, networking, peer review, update knowledge etc.</w:t>
      </w:r>
      <w:r w:rsidR="0052638F">
        <w:rPr>
          <w:rFonts w:asciiTheme="majorHAnsi" w:eastAsia="Arial" w:hAnsiTheme="majorHAnsi" w:cstheme="majorHAnsi"/>
        </w:rPr>
        <w:t xml:space="preserve"> </w:t>
      </w:r>
      <w:r w:rsidR="00996335">
        <w:rPr>
          <w:rFonts w:asciiTheme="majorHAnsi" w:eastAsia="Arial" w:hAnsiTheme="majorHAnsi" w:cstheme="majorHAnsi"/>
        </w:rPr>
        <w:t xml:space="preserve">Limited opportunities may exist in </w:t>
      </w:r>
      <w:r w:rsidRPr="000619E1">
        <w:rPr>
          <w:rFonts w:asciiTheme="majorHAnsi" w:eastAsia="Arial" w:hAnsiTheme="majorHAnsi" w:cstheme="majorHAnsi"/>
        </w:rPr>
        <w:t xml:space="preserve">smaller regions, </w:t>
      </w:r>
      <w:r w:rsidR="00996335">
        <w:rPr>
          <w:rFonts w:asciiTheme="majorHAnsi" w:eastAsia="Arial" w:hAnsiTheme="majorHAnsi" w:cstheme="majorHAnsi"/>
        </w:rPr>
        <w:t xml:space="preserve">and </w:t>
      </w:r>
      <w:r w:rsidR="007745C5">
        <w:rPr>
          <w:rFonts w:asciiTheme="majorHAnsi" w:eastAsia="Arial" w:hAnsiTheme="majorHAnsi" w:cstheme="majorHAnsi"/>
        </w:rPr>
        <w:t>contact can take place in a variety of ways</w:t>
      </w:r>
      <w:r w:rsidR="00996335">
        <w:rPr>
          <w:rFonts w:asciiTheme="majorHAnsi" w:eastAsia="Arial" w:hAnsiTheme="majorHAnsi" w:cstheme="majorHAnsi"/>
        </w:rPr>
        <w:t>.</w:t>
      </w:r>
    </w:p>
    <w:p w14:paraId="2C246E89" w14:textId="77777777" w:rsidR="00CC0B2B" w:rsidRDefault="00CC0B2B">
      <w:pPr>
        <w:rPr>
          <w:rFonts w:ascii="Arial" w:eastAsia="Arial" w:hAnsi="Arial" w:cs="Arial"/>
        </w:rPr>
      </w:pPr>
    </w:p>
    <w:p w14:paraId="030AD82B" w14:textId="77777777" w:rsidR="0018664E" w:rsidRDefault="0018664E">
      <w:pPr>
        <w:rPr>
          <w:rFonts w:ascii="Arial" w:eastAsia="Arial" w:hAnsi="Arial" w:cs="Arial"/>
          <w:color w:val="4472C4"/>
        </w:rPr>
      </w:pPr>
      <w:r>
        <w:br w:type="page"/>
      </w:r>
    </w:p>
    <w:p w14:paraId="0CB13778" w14:textId="307491D1" w:rsidR="00CC0B2B" w:rsidRPr="00401A72" w:rsidRDefault="00F438C4">
      <w:pPr>
        <w:pStyle w:val="Heading3"/>
        <w:rPr>
          <w:rFonts w:ascii="Calibri" w:hAnsi="Calibri" w:cs="Calibri"/>
          <w:sz w:val="28"/>
          <w:szCs w:val="28"/>
        </w:rPr>
      </w:pPr>
      <w:r w:rsidRPr="00401A72">
        <w:rPr>
          <w:rFonts w:ascii="Calibri" w:hAnsi="Calibri" w:cs="Calibri"/>
          <w:sz w:val="28"/>
          <w:szCs w:val="28"/>
        </w:rPr>
        <w:lastRenderedPageBreak/>
        <w:t>Examples of types of activities</w:t>
      </w:r>
    </w:p>
    <w:p w14:paraId="05A9A4D4" w14:textId="77777777" w:rsidR="00CC0B2B" w:rsidRDefault="00CC0B2B">
      <w:pPr>
        <w:rPr>
          <w:b/>
        </w:rPr>
      </w:pPr>
    </w:p>
    <w:p w14:paraId="58250F43" w14:textId="20981F91" w:rsidR="00CC0B2B" w:rsidRDefault="00921C93">
      <w:pPr>
        <w:rPr>
          <w:b/>
        </w:rPr>
      </w:pPr>
      <w:r>
        <w:rPr>
          <w:b/>
        </w:rPr>
        <w:t xml:space="preserve">1. </w:t>
      </w:r>
      <w:r w:rsidR="00F438C4">
        <w:rPr>
          <w:b/>
        </w:rPr>
        <w:t>Improving knowledge</w:t>
      </w:r>
    </w:p>
    <w:p w14:paraId="20C76AAA" w14:textId="61D84BF2" w:rsidR="00CC0B2B" w:rsidRDefault="00DC0412">
      <w:r>
        <w:t>Keep</w:t>
      </w:r>
      <w:r w:rsidR="00F438C4">
        <w:t xml:space="preserve"> up-to-date with literature (self-directed)</w:t>
      </w:r>
    </w:p>
    <w:p w14:paraId="1D53AFC3" w14:textId="77777777" w:rsidR="00CC0B2B" w:rsidRDefault="00F438C4">
      <w:r>
        <w:t>Conference attendance</w:t>
      </w:r>
    </w:p>
    <w:p w14:paraId="2E8A8191" w14:textId="77777777" w:rsidR="00CC0B2B" w:rsidRDefault="00F438C4">
      <w:r>
        <w:t>Seminar attendance</w:t>
      </w:r>
      <w:bookmarkStart w:id="0" w:name="_GoBack"/>
      <w:bookmarkEnd w:id="0"/>
    </w:p>
    <w:p w14:paraId="12995439" w14:textId="77777777" w:rsidR="00CC0B2B" w:rsidRDefault="00F438C4">
      <w:r>
        <w:t>Workshop attendance</w:t>
      </w:r>
    </w:p>
    <w:p w14:paraId="1F40B932" w14:textId="77777777" w:rsidR="00CC0B2B" w:rsidRDefault="00F438C4">
      <w:r>
        <w:t>Online course</w:t>
      </w:r>
    </w:p>
    <w:p w14:paraId="110D6645" w14:textId="77777777" w:rsidR="00CC0B2B" w:rsidRDefault="00F438C4">
      <w:r>
        <w:t>Journal club</w:t>
      </w:r>
    </w:p>
    <w:p w14:paraId="4A1913E5" w14:textId="77777777" w:rsidR="00CC0B2B" w:rsidRDefault="00F438C4">
      <w:r>
        <w:t>Practice visit</w:t>
      </w:r>
    </w:p>
    <w:p w14:paraId="3F1D2630" w14:textId="77777777" w:rsidR="00CC0B2B" w:rsidRDefault="00F438C4">
      <w:r>
        <w:t>Gain qualification</w:t>
      </w:r>
    </w:p>
    <w:p w14:paraId="5C4ECBCA" w14:textId="77777777" w:rsidR="00CC0B2B" w:rsidRDefault="00CC0B2B">
      <w:pPr>
        <w:rPr>
          <w:b/>
        </w:rPr>
      </w:pPr>
    </w:p>
    <w:p w14:paraId="55ECE1BE" w14:textId="762423EC" w:rsidR="00CC0B2B" w:rsidRDefault="00921C93">
      <w:pPr>
        <w:rPr>
          <w:b/>
        </w:rPr>
      </w:pPr>
      <w:r>
        <w:rPr>
          <w:b/>
        </w:rPr>
        <w:t xml:space="preserve">2. </w:t>
      </w:r>
      <w:r w:rsidR="00F438C4">
        <w:rPr>
          <w:b/>
        </w:rPr>
        <w:t>Teaching/presentations/publication</w:t>
      </w:r>
    </w:p>
    <w:p w14:paraId="7B9D1C4C" w14:textId="25A7700E" w:rsidR="00CC0B2B" w:rsidRDefault="00DC0412">
      <w:r>
        <w:t>Prepare</w:t>
      </w:r>
      <w:r w:rsidR="00F438C4">
        <w:t xml:space="preserve"> lesson plans</w:t>
      </w:r>
    </w:p>
    <w:p w14:paraId="55538D7D" w14:textId="238285DB" w:rsidR="00CC0B2B" w:rsidRDefault="00F438C4">
      <w:r>
        <w:t>Deliver practical activities, seminars, lectures, tutorials, workshops</w:t>
      </w:r>
    </w:p>
    <w:p w14:paraId="0167D43F" w14:textId="5C0B6ECA" w:rsidR="00CC0B2B" w:rsidRDefault="00DC0412">
      <w:r>
        <w:t>Assess</w:t>
      </w:r>
      <w:r w:rsidR="00F438C4">
        <w:t xml:space="preserve"> of assignments, exams </w:t>
      </w:r>
      <w:proofErr w:type="spellStart"/>
      <w:r w:rsidR="00F438C4">
        <w:t>etc</w:t>
      </w:r>
      <w:proofErr w:type="spellEnd"/>
    </w:p>
    <w:p w14:paraId="07463494" w14:textId="0AC7C642" w:rsidR="00CC0B2B" w:rsidRDefault="00DC0412">
      <w:r>
        <w:t>Prepare/produce/develop/deliver e</w:t>
      </w:r>
      <w:r w:rsidR="00F438C4">
        <w:t>ducational material</w:t>
      </w:r>
    </w:p>
    <w:p w14:paraId="2B5BD461" w14:textId="06EBBC60" w:rsidR="00CC0B2B" w:rsidRDefault="00DC0412">
      <w:r>
        <w:t>Publish s</w:t>
      </w:r>
      <w:r w:rsidR="00F438C4">
        <w:t xml:space="preserve">cientific papers in peer-reviewed journals </w:t>
      </w:r>
      <w:r w:rsidR="00F438C4">
        <w:rPr>
          <w:rFonts w:ascii="MS Mincho" w:eastAsia="MS Mincho" w:hAnsi="MS Mincho" w:cs="MS Mincho"/>
        </w:rPr>
        <w:t> </w:t>
      </w:r>
    </w:p>
    <w:p w14:paraId="7CEF5E92" w14:textId="484328A0" w:rsidR="00CC0B2B" w:rsidRDefault="00DC0412">
      <w:r>
        <w:t>Produce internal or public reports</w:t>
      </w:r>
      <w:r w:rsidR="00F438C4">
        <w:t xml:space="preserve"> </w:t>
      </w:r>
      <w:r w:rsidR="00F438C4">
        <w:rPr>
          <w:rFonts w:ascii="MS Mincho" w:eastAsia="MS Mincho" w:hAnsi="MS Mincho" w:cs="MS Mincho"/>
        </w:rPr>
        <w:t> </w:t>
      </w:r>
    </w:p>
    <w:p w14:paraId="060BFA9F" w14:textId="77777777" w:rsidR="00CC0B2B" w:rsidRDefault="00CC0B2B">
      <w:pPr>
        <w:rPr>
          <w:b/>
        </w:rPr>
      </w:pPr>
    </w:p>
    <w:p w14:paraId="149A4D1A" w14:textId="638302A7" w:rsidR="00CC0B2B" w:rsidRDefault="00921C93">
      <w:pPr>
        <w:rPr>
          <w:b/>
        </w:rPr>
      </w:pPr>
      <w:r>
        <w:rPr>
          <w:b/>
        </w:rPr>
        <w:t xml:space="preserve">3. </w:t>
      </w:r>
      <w:r w:rsidR="00F438C4">
        <w:rPr>
          <w:b/>
        </w:rPr>
        <w:t>Work-related/report writing/community service</w:t>
      </w:r>
    </w:p>
    <w:p w14:paraId="7E8C9FC7" w14:textId="0FE8A4B4" w:rsidR="00CC0B2B" w:rsidRDefault="00CB7D1E">
      <w:pPr>
        <w:rPr>
          <w:rFonts w:ascii="MS Mincho" w:eastAsia="MS Mincho" w:hAnsi="MS Mincho" w:cs="MS Mincho"/>
        </w:rPr>
      </w:pPr>
      <w:r>
        <w:t>Produce s</w:t>
      </w:r>
      <w:r w:rsidR="00F438C4">
        <w:t xml:space="preserve">trategy or policy development reports </w:t>
      </w:r>
    </w:p>
    <w:p w14:paraId="73DAA47A" w14:textId="6C46B0C0" w:rsidR="00CC0B2B" w:rsidRDefault="00CB7D1E">
      <w:r>
        <w:t>Advise on and/or deliver</w:t>
      </w:r>
      <w:r w:rsidR="00F438C4">
        <w:t xml:space="preserve"> nutrition/dietary policy issues </w:t>
      </w:r>
    </w:p>
    <w:p w14:paraId="25E4E105" w14:textId="6F214ECA" w:rsidR="00CC0B2B" w:rsidRDefault="00CB7D1E">
      <w:r>
        <w:t>Participate</w:t>
      </w:r>
      <w:r w:rsidR="00F438C4">
        <w:t xml:space="preserve"> in policy development groups </w:t>
      </w:r>
    </w:p>
    <w:p w14:paraId="58994AAA" w14:textId="77777777" w:rsidR="00CC0B2B" w:rsidRDefault="00F438C4">
      <w:pPr>
        <w:rPr>
          <w:rFonts w:ascii="MS Mincho" w:eastAsia="MS Mincho" w:hAnsi="MS Mincho" w:cs="MS Mincho"/>
        </w:rPr>
      </w:pPr>
      <w:r>
        <w:t xml:space="preserve">Involvement with advisory, advocacy or other working and guidance development groups </w:t>
      </w:r>
    </w:p>
    <w:p w14:paraId="0BD25166" w14:textId="5B4F8E4D" w:rsidR="00CC0B2B" w:rsidRDefault="00CB7D1E">
      <w:r>
        <w:t>Write g</w:t>
      </w:r>
      <w:r w:rsidR="00F438C4">
        <w:t>rant proposal</w:t>
      </w:r>
      <w:r>
        <w:t>s</w:t>
      </w:r>
      <w:r w:rsidR="00F438C4">
        <w:t xml:space="preserve"> </w:t>
      </w:r>
    </w:p>
    <w:p w14:paraId="1E897047" w14:textId="251A9DCB" w:rsidR="00CC0B2B" w:rsidRDefault="00CB7D1E">
      <w:pPr>
        <w:rPr>
          <w:rFonts w:ascii="MS Mincho" w:eastAsia="MS Mincho" w:hAnsi="MS Mincho" w:cs="MS Mincho"/>
        </w:rPr>
      </w:pPr>
      <w:r>
        <w:t xml:space="preserve">Conduct and </w:t>
      </w:r>
      <w:proofErr w:type="spellStart"/>
      <w:r>
        <w:t>analyse</w:t>
      </w:r>
      <w:proofErr w:type="spellEnd"/>
      <w:r w:rsidR="00F438C4">
        <w:t xml:space="preserve"> research </w:t>
      </w:r>
    </w:p>
    <w:p w14:paraId="19A50C71" w14:textId="643E81CC" w:rsidR="00CC0B2B" w:rsidRDefault="00CB7D1E">
      <w:pPr>
        <w:rPr>
          <w:rFonts w:ascii="MS Mincho" w:eastAsia="MS Mincho" w:hAnsi="MS Mincho" w:cs="MS Mincho"/>
        </w:rPr>
      </w:pPr>
      <w:r>
        <w:t>Commission</w:t>
      </w:r>
      <w:r w:rsidR="00F438C4">
        <w:t xml:space="preserve"> of research</w:t>
      </w:r>
      <w:r w:rsidR="00F438C4">
        <w:rPr>
          <w:rFonts w:ascii="MS Mincho" w:eastAsia="MS Mincho" w:hAnsi="MS Mincho" w:cs="MS Mincho"/>
        </w:rPr>
        <w:t> </w:t>
      </w:r>
    </w:p>
    <w:p w14:paraId="4D3ABD81" w14:textId="353C34E5" w:rsidR="00CC0B2B" w:rsidRDefault="00CB7D1E">
      <w:pPr>
        <w:rPr>
          <w:rFonts w:ascii="MS Mincho" w:eastAsia="MS Mincho" w:hAnsi="MS Mincho" w:cs="MS Mincho"/>
        </w:rPr>
      </w:pPr>
      <w:proofErr w:type="spellStart"/>
      <w:r>
        <w:t>Organise</w:t>
      </w:r>
      <w:proofErr w:type="spellEnd"/>
      <w:r w:rsidR="00F438C4">
        <w:t xml:space="preserve"> and contribut</w:t>
      </w:r>
      <w:r>
        <w:t>e</w:t>
      </w:r>
      <w:r w:rsidR="00F438C4">
        <w:t xml:space="preserve"> to stakeholder events</w:t>
      </w:r>
      <w:r w:rsidR="00F438C4">
        <w:rPr>
          <w:rFonts w:ascii="MS Mincho" w:eastAsia="MS Mincho" w:hAnsi="MS Mincho" w:cs="MS Mincho"/>
        </w:rPr>
        <w:t> </w:t>
      </w:r>
    </w:p>
    <w:p w14:paraId="6184E616" w14:textId="60280ADC" w:rsidR="00CC0B2B" w:rsidRDefault="00CB7D1E">
      <w:pPr>
        <w:rPr>
          <w:rFonts w:ascii="MS Mincho" w:eastAsia="MS Mincho" w:hAnsi="MS Mincho" w:cs="MS Mincho"/>
        </w:rPr>
      </w:pPr>
      <w:r>
        <w:t>Respond</w:t>
      </w:r>
      <w:r w:rsidR="00F438C4">
        <w:t xml:space="preserve"> to media enquiries</w:t>
      </w:r>
      <w:r w:rsidR="00F438C4">
        <w:rPr>
          <w:rFonts w:ascii="MS Mincho" w:eastAsia="MS Mincho" w:hAnsi="MS Mincho" w:cs="MS Mincho"/>
        </w:rPr>
        <w:t> </w:t>
      </w:r>
    </w:p>
    <w:p w14:paraId="427BCD3B" w14:textId="77777777" w:rsidR="00CC0B2B" w:rsidRDefault="00F438C4">
      <w:pPr>
        <w:rPr>
          <w:rFonts w:ascii="MS Mincho" w:eastAsia="MS Mincho" w:hAnsi="MS Mincho" w:cs="MS Mincho"/>
        </w:rPr>
      </w:pPr>
      <w:r>
        <w:t>Regular client interaction</w:t>
      </w:r>
    </w:p>
    <w:p w14:paraId="227D3836" w14:textId="77777777" w:rsidR="00CC0B2B" w:rsidRDefault="00F438C4">
      <w:r>
        <w:t>Marketing materials produced</w:t>
      </w:r>
    </w:p>
    <w:p w14:paraId="38E2390C" w14:textId="7B358AD6" w:rsidR="00CC0B2B" w:rsidRDefault="00F438C4">
      <w:r>
        <w:t>Advocacy, prepare submission</w:t>
      </w:r>
      <w:r w:rsidR="00CB7D1E">
        <w:t>s</w:t>
      </w:r>
      <w:r>
        <w:t xml:space="preserve">, input into consultation documents </w:t>
      </w:r>
    </w:p>
    <w:p w14:paraId="59B35B7F" w14:textId="77777777" w:rsidR="00CC0B2B" w:rsidRDefault="00F438C4">
      <w:r>
        <w:t>Product development</w:t>
      </w:r>
    </w:p>
    <w:p w14:paraId="52281C68" w14:textId="77777777" w:rsidR="00CC0B2B" w:rsidRDefault="00F438C4">
      <w:r>
        <w:t>Publish consumer resources</w:t>
      </w:r>
    </w:p>
    <w:p w14:paraId="67D6A5CF" w14:textId="6377CE74" w:rsidR="00CC0B2B" w:rsidRDefault="00F438C4">
      <w:pPr>
        <w:rPr>
          <w:rFonts w:ascii="MS Mincho" w:eastAsia="MS Mincho" w:hAnsi="MS Mincho" w:cs="MS Mincho"/>
        </w:rPr>
      </w:pPr>
      <w:r>
        <w:t>Writ</w:t>
      </w:r>
      <w:r w:rsidR="00CB7D1E">
        <w:t>e</w:t>
      </w:r>
      <w:r>
        <w:t xml:space="preserve"> a blog </w:t>
      </w:r>
      <w:r>
        <w:rPr>
          <w:rFonts w:ascii="MS Mincho" w:eastAsia="MS Mincho" w:hAnsi="MS Mincho" w:cs="MS Mincho"/>
        </w:rPr>
        <w:t> </w:t>
      </w:r>
    </w:p>
    <w:p w14:paraId="30A3E2D9" w14:textId="77777777" w:rsidR="00CC0B2B" w:rsidRDefault="00CC0B2B"/>
    <w:p w14:paraId="1A4260D9" w14:textId="3409AC7E" w:rsidR="00CC0B2B" w:rsidRDefault="00921C93">
      <w:pPr>
        <w:rPr>
          <w:b/>
        </w:rPr>
      </w:pPr>
      <w:r>
        <w:rPr>
          <w:b/>
        </w:rPr>
        <w:t xml:space="preserve">4. </w:t>
      </w:r>
      <w:r w:rsidR="00F438C4">
        <w:rPr>
          <w:b/>
        </w:rPr>
        <w:t>Contact with Nutritionists</w:t>
      </w:r>
    </w:p>
    <w:p w14:paraId="7F8A1947" w14:textId="77777777" w:rsidR="00CC0B2B" w:rsidRDefault="00F438C4">
      <w:r>
        <w:t>Membership of professional association</w:t>
      </w:r>
    </w:p>
    <w:p w14:paraId="6FF8BEB0" w14:textId="77777777" w:rsidR="00CC0B2B" w:rsidRDefault="00F438C4">
      <w:r>
        <w:t xml:space="preserve">Membership of advisory bodies </w:t>
      </w:r>
    </w:p>
    <w:p w14:paraId="34B8568E" w14:textId="77777777" w:rsidR="00CC0B2B" w:rsidRDefault="00F438C4">
      <w:r>
        <w:t>Membership of networking groups</w:t>
      </w:r>
    </w:p>
    <w:p w14:paraId="1EDD5FBA" w14:textId="77777777" w:rsidR="00CC0B2B" w:rsidRDefault="00F438C4">
      <w:r>
        <w:t>Professional relationships with nutritionists</w:t>
      </w:r>
    </w:p>
    <w:p w14:paraId="2DAE29C1" w14:textId="77777777" w:rsidR="00CC0B2B" w:rsidRDefault="00F438C4">
      <w:r>
        <w:t>Nutrition colleagues</w:t>
      </w:r>
    </w:p>
    <w:p w14:paraId="0D849A06" w14:textId="77777777" w:rsidR="00CC0B2B" w:rsidRDefault="00F438C4">
      <w:r>
        <w:t>Receive or provide professional supervision, peer review or mentoring</w:t>
      </w:r>
    </w:p>
    <w:p w14:paraId="3315818B" w14:textId="77777777" w:rsidR="00CC0B2B" w:rsidRDefault="00F438C4">
      <w:r>
        <w:t>Active participation in nutrition-related social media</w:t>
      </w:r>
    </w:p>
    <w:p w14:paraId="5B176F29" w14:textId="77777777" w:rsidR="00CC0B2B" w:rsidRDefault="00F438C4">
      <w:r>
        <w:t>Practice visit</w:t>
      </w:r>
    </w:p>
    <w:p w14:paraId="68EDEA81" w14:textId="77777777" w:rsidR="00CC0B2B" w:rsidRDefault="00CC0B2B">
      <w:pPr>
        <w:rPr>
          <w:rFonts w:ascii="Arial" w:eastAsia="Arial" w:hAnsi="Arial" w:cs="Arial"/>
        </w:rPr>
      </w:pPr>
    </w:p>
    <w:sectPr w:rsidR="00CC0B2B">
      <w:footerReference w:type="even" r:id="rId11"/>
      <w:footerReference w:type="default" r:id="rId12"/>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76B66" w14:textId="77777777" w:rsidR="00CC6481" w:rsidRDefault="00CC6481">
      <w:r>
        <w:separator/>
      </w:r>
    </w:p>
  </w:endnote>
  <w:endnote w:type="continuationSeparator" w:id="0">
    <w:p w14:paraId="04835870" w14:textId="77777777" w:rsidR="00CC6481" w:rsidRDefault="00CC6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6BE25" w14:textId="77777777" w:rsidR="007E71C3" w:rsidRDefault="007E71C3">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406957B9" w14:textId="77777777" w:rsidR="007E71C3" w:rsidRDefault="007E71C3">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BFAF1" w14:textId="0C20DE05" w:rsidR="007E71C3" w:rsidRDefault="007E71C3">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854050">
      <w:rPr>
        <w:noProof/>
        <w:color w:val="000000"/>
      </w:rPr>
      <w:t>8</w:t>
    </w:r>
    <w:r>
      <w:rPr>
        <w:color w:val="000000"/>
      </w:rPr>
      <w:fldChar w:fldCharType="end"/>
    </w:r>
  </w:p>
  <w:p w14:paraId="6396CF15" w14:textId="77777777" w:rsidR="007E71C3" w:rsidRDefault="007E71C3">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398F9" w14:textId="77777777" w:rsidR="00CC6481" w:rsidRDefault="00CC6481">
      <w:r>
        <w:separator/>
      </w:r>
    </w:p>
  </w:footnote>
  <w:footnote w:type="continuationSeparator" w:id="0">
    <w:p w14:paraId="478E5E2B" w14:textId="77777777" w:rsidR="00CC6481" w:rsidRDefault="00CC6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712FD"/>
    <w:multiLevelType w:val="hybridMultilevel"/>
    <w:tmpl w:val="7472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1304E"/>
    <w:multiLevelType w:val="multilevel"/>
    <w:tmpl w:val="D7E060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3963509"/>
    <w:multiLevelType w:val="multilevel"/>
    <w:tmpl w:val="BBFC256E"/>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F5C0FB7"/>
    <w:multiLevelType w:val="hybridMultilevel"/>
    <w:tmpl w:val="2864F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6D68A0"/>
    <w:multiLevelType w:val="hybridMultilevel"/>
    <w:tmpl w:val="3B7E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B2B"/>
    <w:rsid w:val="00000C1B"/>
    <w:rsid w:val="00003AC1"/>
    <w:rsid w:val="00053CD2"/>
    <w:rsid w:val="000619E1"/>
    <w:rsid w:val="00061FDA"/>
    <w:rsid w:val="00072333"/>
    <w:rsid w:val="00090995"/>
    <w:rsid w:val="000C0C2A"/>
    <w:rsid w:val="000D15C6"/>
    <w:rsid w:val="000D4A11"/>
    <w:rsid w:val="000D4CCE"/>
    <w:rsid w:val="001016F5"/>
    <w:rsid w:val="00103ADC"/>
    <w:rsid w:val="001234C6"/>
    <w:rsid w:val="0012673A"/>
    <w:rsid w:val="00132935"/>
    <w:rsid w:val="00134EE0"/>
    <w:rsid w:val="00145894"/>
    <w:rsid w:val="00156DE3"/>
    <w:rsid w:val="001677F7"/>
    <w:rsid w:val="00174D18"/>
    <w:rsid w:val="00182D1C"/>
    <w:rsid w:val="0018664E"/>
    <w:rsid w:val="00187402"/>
    <w:rsid w:val="00195DCE"/>
    <w:rsid w:val="001A7930"/>
    <w:rsid w:val="001B2D1D"/>
    <w:rsid w:val="001C53C6"/>
    <w:rsid w:val="001C5D62"/>
    <w:rsid w:val="001C633E"/>
    <w:rsid w:val="001D2C23"/>
    <w:rsid w:val="001D4139"/>
    <w:rsid w:val="001D4CCF"/>
    <w:rsid w:val="001E16F9"/>
    <w:rsid w:val="001E525B"/>
    <w:rsid w:val="001E6500"/>
    <w:rsid w:val="001F7768"/>
    <w:rsid w:val="00221058"/>
    <w:rsid w:val="002235A0"/>
    <w:rsid w:val="00224096"/>
    <w:rsid w:val="0023386F"/>
    <w:rsid w:val="00236430"/>
    <w:rsid w:val="00247E77"/>
    <w:rsid w:val="00253E2B"/>
    <w:rsid w:val="00265CF8"/>
    <w:rsid w:val="00267670"/>
    <w:rsid w:val="0026779C"/>
    <w:rsid w:val="00280AB7"/>
    <w:rsid w:val="00285A36"/>
    <w:rsid w:val="0029349C"/>
    <w:rsid w:val="002A655F"/>
    <w:rsid w:val="002A6A97"/>
    <w:rsid w:val="002B0F90"/>
    <w:rsid w:val="002C4DD4"/>
    <w:rsid w:val="002D1EFF"/>
    <w:rsid w:val="002D61C2"/>
    <w:rsid w:val="002D74C8"/>
    <w:rsid w:val="002E1252"/>
    <w:rsid w:val="002E628D"/>
    <w:rsid w:val="002F50FB"/>
    <w:rsid w:val="0030049A"/>
    <w:rsid w:val="0030458B"/>
    <w:rsid w:val="00306FE9"/>
    <w:rsid w:val="00310C0B"/>
    <w:rsid w:val="0031272D"/>
    <w:rsid w:val="003219B1"/>
    <w:rsid w:val="00332203"/>
    <w:rsid w:val="0033260D"/>
    <w:rsid w:val="003444BC"/>
    <w:rsid w:val="00345222"/>
    <w:rsid w:val="00350CE7"/>
    <w:rsid w:val="00355CB6"/>
    <w:rsid w:val="0036166C"/>
    <w:rsid w:val="003629C0"/>
    <w:rsid w:val="00373AB3"/>
    <w:rsid w:val="00380167"/>
    <w:rsid w:val="00390BBF"/>
    <w:rsid w:val="0039254E"/>
    <w:rsid w:val="00396B99"/>
    <w:rsid w:val="003A02D8"/>
    <w:rsid w:val="003A1837"/>
    <w:rsid w:val="003B1417"/>
    <w:rsid w:val="003B360A"/>
    <w:rsid w:val="003B3B74"/>
    <w:rsid w:val="003C6FE5"/>
    <w:rsid w:val="003D4363"/>
    <w:rsid w:val="003D5811"/>
    <w:rsid w:val="003E68E5"/>
    <w:rsid w:val="003E6A9E"/>
    <w:rsid w:val="003F2523"/>
    <w:rsid w:val="00401A72"/>
    <w:rsid w:val="004055F5"/>
    <w:rsid w:val="0041414C"/>
    <w:rsid w:val="004229D5"/>
    <w:rsid w:val="00426E7D"/>
    <w:rsid w:val="00430DE2"/>
    <w:rsid w:val="0043107A"/>
    <w:rsid w:val="00433E68"/>
    <w:rsid w:val="00443324"/>
    <w:rsid w:val="00445106"/>
    <w:rsid w:val="004854A1"/>
    <w:rsid w:val="0049089D"/>
    <w:rsid w:val="00492473"/>
    <w:rsid w:val="00492B11"/>
    <w:rsid w:val="00492F5A"/>
    <w:rsid w:val="004A55FC"/>
    <w:rsid w:val="004B1619"/>
    <w:rsid w:val="004D14E7"/>
    <w:rsid w:val="004D3294"/>
    <w:rsid w:val="004D495B"/>
    <w:rsid w:val="004E3987"/>
    <w:rsid w:val="005172D2"/>
    <w:rsid w:val="0052638F"/>
    <w:rsid w:val="00530BEE"/>
    <w:rsid w:val="0053151C"/>
    <w:rsid w:val="0053285E"/>
    <w:rsid w:val="0054599E"/>
    <w:rsid w:val="00566042"/>
    <w:rsid w:val="0056724D"/>
    <w:rsid w:val="0059604F"/>
    <w:rsid w:val="005A62FF"/>
    <w:rsid w:val="005B4F4B"/>
    <w:rsid w:val="005B5328"/>
    <w:rsid w:val="005B7E2D"/>
    <w:rsid w:val="005C3750"/>
    <w:rsid w:val="005C7663"/>
    <w:rsid w:val="005C7F4B"/>
    <w:rsid w:val="005D4B7F"/>
    <w:rsid w:val="005D7043"/>
    <w:rsid w:val="005F031B"/>
    <w:rsid w:val="005F2867"/>
    <w:rsid w:val="00613CD7"/>
    <w:rsid w:val="0064181A"/>
    <w:rsid w:val="006447AB"/>
    <w:rsid w:val="00645B24"/>
    <w:rsid w:val="00653306"/>
    <w:rsid w:val="006557CF"/>
    <w:rsid w:val="0066053E"/>
    <w:rsid w:val="0066231E"/>
    <w:rsid w:val="00665D3B"/>
    <w:rsid w:val="006907C3"/>
    <w:rsid w:val="006A7205"/>
    <w:rsid w:val="006B2347"/>
    <w:rsid w:val="006B6073"/>
    <w:rsid w:val="006B66CD"/>
    <w:rsid w:val="006C7C2E"/>
    <w:rsid w:val="006F077A"/>
    <w:rsid w:val="006F1BB4"/>
    <w:rsid w:val="006F1DC7"/>
    <w:rsid w:val="006F572C"/>
    <w:rsid w:val="00700903"/>
    <w:rsid w:val="00710034"/>
    <w:rsid w:val="00715787"/>
    <w:rsid w:val="00723425"/>
    <w:rsid w:val="0072676D"/>
    <w:rsid w:val="00740808"/>
    <w:rsid w:val="00741995"/>
    <w:rsid w:val="00770CDF"/>
    <w:rsid w:val="007712DE"/>
    <w:rsid w:val="00772CDA"/>
    <w:rsid w:val="007745C5"/>
    <w:rsid w:val="00775931"/>
    <w:rsid w:val="007763B6"/>
    <w:rsid w:val="00776836"/>
    <w:rsid w:val="00780626"/>
    <w:rsid w:val="007B06CA"/>
    <w:rsid w:val="007B2D71"/>
    <w:rsid w:val="007C1BA8"/>
    <w:rsid w:val="007C334A"/>
    <w:rsid w:val="007C3CBB"/>
    <w:rsid w:val="007C4B16"/>
    <w:rsid w:val="007C7088"/>
    <w:rsid w:val="007D6316"/>
    <w:rsid w:val="007D7B54"/>
    <w:rsid w:val="007E1C00"/>
    <w:rsid w:val="007E6160"/>
    <w:rsid w:val="007E71C3"/>
    <w:rsid w:val="007E7D07"/>
    <w:rsid w:val="007F148E"/>
    <w:rsid w:val="0080195F"/>
    <w:rsid w:val="0080225A"/>
    <w:rsid w:val="008144EC"/>
    <w:rsid w:val="00825DEE"/>
    <w:rsid w:val="008325B6"/>
    <w:rsid w:val="00854050"/>
    <w:rsid w:val="00855BE6"/>
    <w:rsid w:val="008629C7"/>
    <w:rsid w:val="00867717"/>
    <w:rsid w:val="00870E27"/>
    <w:rsid w:val="008851F0"/>
    <w:rsid w:val="008B09F3"/>
    <w:rsid w:val="008B10B2"/>
    <w:rsid w:val="008D6DC0"/>
    <w:rsid w:val="008D7832"/>
    <w:rsid w:val="00910EBF"/>
    <w:rsid w:val="00920DC1"/>
    <w:rsid w:val="00921C93"/>
    <w:rsid w:val="009307D0"/>
    <w:rsid w:val="009334C0"/>
    <w:rsid w:val="00985D7E"/>
    <w:rsid w:val="00992180"/>
    <w:rsid w:val="00995377"/>
    <w:rsid w:val="00996335"/>
    <w:rsid w:val="009C5D43"/>
    <w:rsid w:val="009C73CD"/>
    <w:rsid w:val="009D026D"/>
    <w:rsid w:val="009D111B"/>
    <w:rsid w:val="009E32F9"/>
    <w:rsid w:val="009F50A2"/>
    <w:rsid w:val="009F7494"/>
    <w:rsid w:val="00A0757D"/>
    <w:rsid w:val="00A12992"/>
    <w:rsid w:val="00A13FA4"/>
    <w:rsid w:val="00A14570"/>
    <w:rsid w:val="00A16798"/>
    <w:rsid w:val="00A24490"/>
    <w:rsid w:val="00A24F55"/>
    <w:rsid w:val="00A30EEB"/>
    <w:rsid w:val="00A3285F"/>
    <w:rsid w:val="00A35ACA"/>
    <w:rsid w:val="00A4199D"/>
    <w:rsid w:val="00A4345B"/>
    <w:rsid w:val="00A506F5"/>
    <w:rsid w:val="00A52190"/>
    <w:rsid w:val="00A52C99"/>
    <w:rsid w:val="00A53835"/>
    <w:rsid w:val="00A626A3"/>
    <w:rsid w:val="00A7112D"/>
    <w:rsid w:val="00A95CB7"/>
    <w:rsid w:val="00A964E2"/>
    <w:rsid w:val="00AB095E"/>
    <w:rsid w:val="00AB4315"/>
    <w:rsid w:val="00AC0C48"/>
    <w:rsid w:val="00AD2657"/>
    <w:rsid w:val="00AE70DA"/>
    <w:rsid w:val="00B01C37"/>
    <w:rsid w:val="00B1166D"/>
    <w:rsid w:val="00B2724B"/>
    <w:rsid w:val="00B43993"/>
    <w:rsid w:val="00B446D0"/>
    <w:rsid w:val="00B5046B"/>
    <w:rsid w:val="00B52387"/>
    <w:rsid w:val="00B72198"/>
    <w:rsid w:val="00B723F4"/>
    <w:rsid w:val="00BC031B"/>
    <w:rsid w:val="00BD0C90"/>
    <w:rsid w:val="00BE1334"/>
    <w:rsid w:val="00BE3B80"/>
    <w:rsid w:val="00BF58F9"/>
    <w:rsid w:val="00BF7537"/>
    <w:rsid w:val="00C03B27"/>
    <w:rsid w:val="00C13911"/>
    <w:rsid w:val="00C145CA"/>
    <w:rsid w:val="00C27AB3"/>
    <w:rsid w:val="00C32B72"/>
    <w:rsid w:val="00C367C8"/>
    <w:rsid w:val="00C375E9"/>
    <w:rsid w:val="00C45EDA"/>
    <w:rsid w:val="00C510BF"/>
    <w:rsid w:val="00C647FF"/>
    <w:rsid w:val="00C67835"/>
    <w:rsid w:val="00C712AD"/>
    <w:rsid w:val="00C77269"/>
    <w:rsid w:val="00C8769A"/>
    <w:rsid w:val="00C90883"/>
    <w:rsid w:val="00CA1CD0"/>
    <w:rsid w:val="00CA331B"/>
    <w:rsid w:val="00CB7D1E"/>
    <w:rsid w:val="00CC0B2B"/>
    <w:rsid w:val="00CC5AC6"/>
    <w:rsid w:val="00CC6481"/>
    <w:rsid w:val="00CE33B1"/>
    <w:rsid w:val="00CE655E"/>
    <w:rsid w:val="00CF2A9D"/>
    <w:rsid w:val="00D230A3"/>
    <w:rsid w:val="00D41668"/>
    <w:rsid w:val="00D508E5"/>
    <w:rsid w:val="00D53477"/>
    <w:rsid w:val="00D629EC"/>
    <w:rsid w:val="00D83EA3"/>
    <w:rsid w:val="00D84CDA"/>
    <w:rsid w:val="00DB1A32"/>
    <w:rsid w:val="00DB29BB"/>
    <w:rsid w:val="00DB3554"/>
    <w:rsid w:val="00DC0412"/>
    <w:rsid w:val="00DC7A70"/>
    <w:rsid w:val="00DD2F4D"/>
    <w:rsid w:val="00DD771F"/>
    <w:rsid w:val="00DF7F30"/>
    <w:rsid w:val="00E019FA"/>
    <w:rsid w:val="00E110A0"/>
    <w:rsid w:val="00E20C48"/>
    <w:rsid w:val="00E24E3F"/>
    <w:rsid w:val="00E529A2"/>
    <w:rsid w:val="00E57AF7"/>
    <w:rsid w:val="00E6432C"/>
    <w:rsid w:val="00E74A05"/>
    <w:rsid w:val="00E82CEC"/>
    <w:rsid w:val="00E964E0"/>
    <w:rsid w:val="00E96C58"/>
    <w:rsid w:val="00E96D48"/>
    <w:rsid w:val="00EA1849"/>
    <w:rsid w:val="00EA468E"/>
    <w:rsid w:val="00EA6187"/>
    <w:rsid w:val="00EC09AD"/>
    <w:rsid w:val="00EE403F"/>
    <w:rsid w:val="00EE65ED"/>
    <w:rsid w:val="00F02130"/>
    <w:rsid w:val="00F10026"/>
    <w:rsid w:val="00F16213"/>
    <w:rsid w:val="00F438C4"/>
    <w:rsid w:val="00F63D7A"/>
    <w:rsid w:val="00F65611"/>
    <w:rsid w:val="00FA4B73"/>
    <w:rsid w:val="00FB130B"/>
    <w:rsid w:val="00FD11E1"/>
    <w:rsid w:val="00FD1F53"/>
    <w:rsid w:val="00FD2989"/>
    <w:rsid w:val="00FE5EFA"/>
    <w:rsid w:val="00FF3AC9"/>
    <w:rsid w:val="00FF4E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E562"/>
  <w15:docId w15:val="{FF5C9CBE-46FA-ED4D-BDF8-201130E5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outlineLvl w:val="0"/>
    </w:pPr>
    <w:rPr>
      <w:color w:val="2F5496"/>
      <w:sz w:val="32"/>
      <w:szCs w:val="32"/>
    </w:rPr>
  </w:style>
  <w:style w:type="paragraph" w:styleId="Heading2">
    <w:name w:val="heading 2"/>
    <w:basedOn w:val="Normal"/>
    <w:next w:val="Normal"/>
    <w:pPr>
      <w:keepNext/>
      <w:keepLines/>
      <w:spacing w:before="40"/>
      <w:outlineLvl w:val="1"/>
    </w:pPr>
    <w:rPr>
      <w:rFonts w:ascii="Arial" w:eastAsia="Arial" w:hAnsi="Arial" w:cs="Arial"/>
      <w:color w:val="2F5496"/>
      <w:sz w:val="26"/>
      <w:szCs w:val="26"/>
    </w:rPr>
  </w:style>
  <w:style w:type="paragraph" w:styleId="Heading3">
    <w:name w:val="heading 3"/>
    <w:basedOn w:val="Normal"/>
    <w:next w:val="Normal"/>
    <w:pPr>
      <w:keepNext/>
      <w:keepLines/>
      <w:spacing w:before="40"/>
      <w:outlineLvl w:val="2"/>
    </w:pPr>
    <w:rPr>
      <w:rFonts w:ascii="Arial" w:eastAsia="Arial" w:hAnsi="Arial" w:cs="Arial"/>
      <w:color w:val="4472C4"/>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53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53C6"/>
    <w:rPr>
      <w:rFonts w:ascii="Times New Roman" w:hAnsi="Times New Roman" w:cs="Times New Roman"/>
      <w:sz w:val="18"/>
      <w:szCs w:val="18"/>
    </w:rPr>
  </w:style>
  <w:style w:type="paragraph" w:styleId="ListParagraph">
    <w:name w:val="List Paragraph"/>
    <w:basedOn w:val="Normal"/>
    <w:uiPriority w:val="34"/>
    <w:qFormat/>
    <w:rsid w:val="00A52190"/>
    <w:pPr>
      <w:ind w:left="720"/>
      <w:contextualSpacing/>
    </w:pPr>
  </w:style>
  <w:style w:type="paragraph" w:styleId="NoSpacing">
    <w:name w:val="No Spacing"/>
    <w:uiPriority w:val="1"/>
    <w:qFormat/>
    <w:rsid w:val="00C45EDA"/>
  </w:style>
  <w:style w:type="paragraph" w:styleId="CommentSubject">
    <w:name w:val="annotation subject"/>
    <w:basedOn w:val="CommentText"/>
    <w:next w:val="CommentText"/>
    <w:link w:val="CommentSubjectChar"/>
    <w:uiPriority w:val="99"/>
    <w:semiHidden/>
    <w:unhideWhenUsed/>
    <w:rsid w:val="00156DE3"/>
    <w:rPr>
      <w:b/>
      <w:bCs/>
    </w:rPr>
  </w:style>
  <w:style w:type="character" w:customStyle="1" w:styleId="CommentSubjectChar">
    <w:name w:val="Comment Subject Char"/>
    <w:basedOn w:val="CommentTextChar"/>
    <w:link w:val="CommentSubject"/>
    <w:uiPriority w:val="99"/>
    <w:semiHidden/>
    <w:rsid w:val="00156DE3"/>
    <w:rPr>
      <w:b/>
      <w:bCs/>
      <w:sz w:val="20"/>
      <w:szCs w:val="20"/>
    </w:rPr>
  </w:style>
  <w:style w:type="paragraph" w:styleId="Revision">
    <w:name w:val="Revision"/>
    <w:hidden/>
    <w:uiPriority w:val="99"/>
    <w:semiHidden/>
    <w:rsid w:val="00A30EEB"/>
  </w:style>
  <w:style w:type="character" w:styleId="Hyperlink">
    <w:name w:val="Hyperlink"/>
    <w:basedOn w:val="DefaultParagraphFont"/>
    <w:uiPriority w:val="99"/>
    <w:unhideWhenUsed/>
    <w:rsid w:val="007D7B54"/>
    <w:rPr>
      <w:color w:val="0000FF"/>
      <w:u w:val="single"/>
    </w:rPr>
  </w:style>
  <w:style w:type="character" w:styleId="UnresolvedMention">
    <w:name w:val="Unresolved Mention"/>
    <w:basedOn w:val="DefaultParagraphFont"/>
    <w:uiPriority w:val="99"/>
    <w:semiHidden/>
    <w:unhideWhenUsed/>
    <w:rsid w:val="00AB0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nutritionsociety.ac.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61BCB972ADD14783DA5893ECCADC1C" ma:contentTypeVersion="13" ma:contentTypeDescription="Create a new document." ma:contentTypeScope="" ma:versionID="a1c13aada380bd8a17a7cb1c15d0add5">
  <xsd:schema xmlns:xsd="http://www.w3.org/2001/XMLSchema" xmlns:xs="http://www.w3.org/2001/XMLSchema" xmlns:p="http://schemas.microsoft.com/office/2006/metadata/properties" xmlns:ns3="669ce269-8656-42dd-8a4c-4c957978844d" xmlns:ns4="54f7b676-5206-4162-b0b4-ce9064ff6a2d" targetNamespace="http://schemas.microsoft.com/office/2006/metadata/properties" ma:root="true" ma:fieldsID="2455f30043a9a62c93779ed3d4dbb6e2" ns3:_="" ns4:_="">
    <xsd:import namespace="669ce269-8656-42dd-8a4c-4c957978844d"/>
    <xsd:import namespace="54f7b676-5206-4162-b0b4-ce9064ff6a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ce269-8656-42dd-8a4c-4c95797884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f7b676-5206-4162-b0b4-ce9064ff6a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B2B518-3F32-4401-A0D4-FA91085A42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A19F33-EB96-4785-895D-CD08F7493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ce269-8656-42dd-8a4c-4c957978844d"/>
    <ds:schemaRef ds:uri="54f7b676-5206-4162-b0b4-ce9064ff6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461A41-DEAD-4CCF-9BA1-4B1E4A4A89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2430</Words>
  <Characters>13853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 Weijs</dc:creator>
  <cp:lastModifiedBy>Victoria Stedman</cp:lastModifiedBy>
  <cp:revision>4</cp:revision>
  <dcterms:created xsi:type="dcterms:W3CDTF">2020-11-15T06:16:00Z</dcterms:created>
  <dcterms:modified xsi:type="dcterms:W3CDTF">2020-11-15T06:32:00Z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0x010100FF61BCB972ADD14783DA5893ECCADC1C</vt:lpwstr>
  </property>
</Properties>
</file>